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12" w:rsidRPr="00D7069B" w:rsidRDefault="00E07500" w:rsidP="00860912">
      <w:pPr>
        <w:pStyle w:val="Header"/>
        <w:jc w:val="center"/>
        <w:rPr>
          <w:b/>
          <w:lang w:val="es-ES"/>
        </w:rPr>
      </w:pPr>
      <w:bookmarkStart w:id="0" w:name="_GoBack"/>
      <w:bookmarkEnd w:id="0"/>
      <w:r>
        <w:rPr>
          <w:b/>
          <w:bCs/>
          <w:bdr w:val="nil"/>
          <w:lang w:val="es-ES" w:bidi="es-ES"/>
        </w:rPr>
        <w:t>Para más detalles en español, llame al 1-800-311-7343</w:t>
      </w:r>
    </w:p>
    <w:p w:rsidR="00860912" w:rsidRPr="00350BBF" w:rsidRDefault="00D7069B" w:rsidP="00860912">
      <w:pPr>
        <w:pStyle w:val="Table"/>
        <w:rPr>
          <w:lang w:val="es-MX"/>
        </w:rPr>
      </w:pPr>
    </w:p>
    <w:p w:rsidR="00FA16DE" w:rsidRDefault="00E07500"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bdr w:val="nil"/>
          <w:lang w:val="es-ES" w:bidi="es-ES"/>
        </w:rPr>
      </w:pPr>
      <w:r>
        <w:rPr>
          <w:rFonts w:ascii="Times New Roman" w:hAnsi="Times New Roman" w:cs="Times New Roman"/>
          <w:caps w:val="0"/>
          <w:sz w:val="24"/>
          <w:szCs w:val="24"/>
          <w:bdr w:val="nil"/>
          <w:lang w:val="es-ES" w:bidi="es-ES"/>
        </w:rPr>
        <w:t xml:space="preserve">NOTIFICACIÓN DE </w:t>
      </w:r>
      <w:r w:rsidR="009E2E75">
        <w:rPr>
          <w:rFonts w:ascii="Times New Roman" w:hAnsi="Times New Roman" w:cs="Times New Roman"/>
          <w:caps w:val="0"/>
          <w:sz w:val="24"/>
          <w:szCs w:val="24"/>
          <w:bdr w:val="nil"/>
          <w:lang w:val="es-ES" w:bidi="es-ES"/>
        </w:rPr>
        <w:t xml:space="preserve">LA </w:t>
      </w:r>
      <w:r w:rsidR="008A7D6C">
        <w:rPr>
          <w:rFonts w:ascii="Times New Roman" w:hAnsi="Times New Roman" w:cs="Times New Roman"/>
          <w:caps w:val="0"/>
          <w:sz w:val="24"/>
          <w:szCs w:val="24"/>
          <w:bdr w:val="nil"/>
          <w:lang w:val="es-ES" w:bidi="es-ES"/>
        </w:rPr>
        <w:t xml:space="preserve">PETICIÓN </w:t>
      </w:r>
      <w:r w:rsidR="009E2E75">
        <w:rPr>
          <w:rFonts w:ascii="Times New Roman" w:hAnsi="Times New Roman" w:cs="Times New Roman"/>
          <w:caps w:val="0"/>
          <w:sz w:val="24"/>
          <w:szCs w:val="24"/>
          <w:bdr w:val="nil"/>
          <w:lang w:val="es-ES" w:bidi="es-ES"/>
        </w:rPr>
        <w:t xml:space="preserve">DE </w:t>
      </w:r>
      <w:r>
        <w:rPr>
          <w:rFonts w:ascii="Times New Roman" w:hAnsi="Times New Roman" w:cs="Times New Roman"/>
          <w:caps w:val="0"/>
          <w:sz w:val="24"/>
          <w:szCs w:val="24"/>
          <w:bdr w:val="nil"/>
          <w:lang w:val="es-ES" w:bidi="es-ES"/>
        </w:rPr>
        <w:t>SAN DIEGO GAS &amp; ELECTRIC COMPANY PARA CAMBIAR TARIFAS PARA</w:t>
      </w:r>
      <w:r w:rsidR="008A7D6C">
        <w:rPr>
          <w:rFonts w:ascii="Times New Roman" w:hAnsi="Times New Roman" w:cs="Times New Roman"/>
          <w:caps w:val="0"/>
          <w:sz w:val="24"/>
          <w:szCs w:val="24"/>
          <w:bdr w:val="nil"/>
          <w:lang w:val="es-ES" w:bidi="es-ES"/>
        </w:rPr>
        <w:t xml:space="preserve"> LA</w:t>
      </w:r>
      <w:r>
        <w:rPr>
          <w:rFonts w:ascii="Times New Roman" w:hAnsi="Times New Roman" w:cs="Times New Roman"/>
          <w:caps w:val="0"/>
          <w:sz w:val="24"/>
          <w:szCs w:val="24"/>
          <w:bdr w:val="nil"/>
          <w:lang w:val="es-ES" w:bidi="es-ES"/>
        </w:rPr>
        <w:t xml:space="preserve"> </w:t>
      </w:r>
      <w:r w:rsidR="00096D36">
        <w:rPr>
          <w:rFonts w:ascii="Times New Roman" w:hAnsi="Times New Roman" w:cs="Times New Roman"/>
          <w:caps w:val="0"/>
          <w:sz w:val="24"/>
          <w:szCs w:val="24"/>
          <w:bdr w:val="nil"/>
          <w:lang w:val="es-ES" w:bidi="es-ES"/>
        </w:rPr>
        <w:t>PRESENTACIÓN DE LA</w:t>
      </w:r>
      <w:r w:rsidR="008A7D6C">
        <w:rPr>
          <w:rFonts w:ascii="Times New Roman" w:hAnsi="Times New Roman" w:cs="Times New Roman"/>
          <w:caps w:val="0"/>
          <w:sz w:val="24"/>
          <w:szCs w:val="24"/>
          <w:bdr w:val="nil"/>
          <w:lang w:val="es-ES" w:bidi="es-ES"/>
        </w:rPr>
        <w:t xml:space="preserve"> </w:t>
      </w:r>
    </w:p>
    <w:p w:rsidR="00860912" w:rsidRPr="00D7069B" w:rsidRDefault="008A7D6C"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ES"/>
        </w:rPr>
      </w:pPr>
      <w:r>
        <w:rPr>
          <w:rFonts w:ascii="Times New Roman" w:hAnsi="Times New Roman" w:cs="Times New Roman"/>
          <w:caps w:val="0"/>
          <w:sz w:val="24"/>
          <w:szCs w:val="24"/>
          <w:bdr w:val="nil"/>
          <w:lang w:val="es-ES" w:bidi="es-ES"/>
        </w:rPr>
        <w:t>SOLICITUD</w:t>
      </w:r>
      <w:r w:rsidR="00096D36">
        <w:rPr>
          <w:rFonts w:ascii="Times New Roman" w:hAnsi="Times New Roman" w:cs="Times New Roman"/>
          <w:caps w:val="0"/>
          <w:sz w:val="24"/>
          <w:szCs w:val="24"/>
          <w:bdr w:val="nil"/>
          <w:lang w:val="es-ES" w:bidi="es-ES"/>
        </w:rPr>
        <w:t xml:space="preserve"> </w:t>
      </w:r>
      <w:r w:rsidR="00E07500">
        <w:rPr>
          <w:rFonts w:ascii="Times New Roman" w:hAnsi="Times New Roman" w:cs="Times New Roman"/>
          <w:sz w:val="24"/>
          <w:szCs w:val="24"/>
          <w:bdr w:val="nil"/>
          <w:lang w:val="es-ES" w:bidi="es-ES"/>
        </w:rPr>
        <w:t>A.15-04-012</w:t>
      </w:r>
      <w:r w:rsidR="00E07500">
        <w:rPr>
          <w:rFonts w:ascii="Times New Roman" w:hAnsi="Times New Roman" w:cs="Times New Roman"/>
          <w:b w:val="0"/>
          <w:bCs w:val="0"/>
          <w:caps w:val="0"/>
          <w:sz w:val="24"/>
          <w:szCs w:val="24"/>
          <w:bdr w:val="nil"/>
          <w:lang w:val="es-ES" w:bidi="es-ES"/>
        </w:rPr>
        <w:t xml:space="preserve"> </w:t>
      </w:r>
      <w:r w:rsidR="00E07500" w:rsidRPr="008A7D6C">
        <w:rPr>
          <w:rFonts w:ascii="Times New Roman" w:hAnsi="Times New Roman" w:cs="Times New Roman"/>
          <w:bCs w:val="0"/>
          <w:caps w:val="0"/>
          <w:sz w:val="24"/>
          <w:szCs w:val="24"/>
          <w:bdr w:val="nil"/>
          <w:lang w:val="es-ES" w:bidi="es-ES"/>
        </w:rPr>
        <w:t>DE LA REVISIÓN GENERAL DE TARIFAS FASE 2</w:t>
      </w:r>
    </w:p>
    <w:p w:rsidR="00860912" w:rsidRPr="00D7069B" w:rsidRDefault="00D7069B" w:rsidP="00860912">
      <w:pPr>
        <w:pStyle w:val="Table"/>
        <w:jc w:val="both"/>
        <w:rPr>
          <w:rFonts w:ascii="Times New Roman" w:hAnsi="Times New Roman" w:cs="Times New Roman"/>
          <w:lang w:val="es-ES"/>
        </w:rPr>
      </w:pPr>
    </w:p>
    <w:p w:rsidR="00860912" w:rsidRPr="00D7069B" w:rsidRDefault="00E07500" w:rsidP="00860912">
      <w:pPr>
        <w:autoSpaceDE w:val="0"/>
        <w:autoSpaceDN w:val="0"/>
        <w:adjustRightInd w:val="0"/>
        <w:rPr>
          <w:lang w:val="es-ES"/>
        </w:rPr>
      </w:pPr>
      <w:r>
        <w:rPr>
          <w:bdr w:val="nil"/>
          <w:lang w:val="es-ES" w:bidi="es-ES"/>
        </w:rPr>
        <w:t>El 13 de abril de 2015, San Diego Gas &amp; Electric Company (SDG&amp;E</w:t>
      </w:r>
      <w:r>
        <w:rPr>
          <w:bdr w:val="nil"/>
          <w:vertAlign w:val="superscript"/>
          <w:lang w:val="es-ES" w:bidi="es-ES"/>
        </w:rPr>
        <w:t>®</w:t>
      </w:r>
      <w:r>
        <w:rPr>
          <w:bdr w:val="nil"/>
          <w:lang w:val="es-ES" w:bidi="es-ES"/>
        </w:rPr>
        <w:t xml:space="preserve">) presentó </w:t>
      </w:r>
      <w:r w:rsidR="00FA16DE">
        <w:rPr>
          <w:bdr w:val="nil"/>
          <w:lang w:val="es-ES" w:bidi="es-ES"/>
        </w:rPr>
        <w:t>su</w:t>
      </w:r>
      <w:r>
        <w:rPr>
          <w:bdr w:val="nil"/>
          <w:lang w:val="es-ES" w:bidi="es-ES"/>
        </w:rPr>
        <w:t xml:space="preserve"> Solicitud para la R</w:t>
      </w:r>
      <w:r w:rsidR="00FA16DE">
        <w:rPr>
          <w:bdr w:val="nil"/>
          <w:lang w:val="es-ES" w:bidi="es-ES"/>
        </w:rPr>
        <w:t>evisión General de Tarifas (GRC</w:t>
      </w:r>
      <w:r>
        <w:rPr>
          <w:bdr w:val="nil"/>
          <w:lang w:val="es-ES" w:bidi="es-ES"/>
        </w:rPr>
        <w:t xml:space="preserve">) Fase 2 (Solicitud) ante la Comisión de Servicios Públicos de California (CPUC). Debido a los resultados de otros procedimientos de la CPUC, SDG&amp;E retiró su Solicitud original y presentó una Solicitud enmendada el 1 de diciembre de 2015, que sustituye la Solicitud del 13 de abril. La Solicitud enmendada busca la aprobación para cambiar las tarifas eléctricas. Los cambios solicitados en la Solicitud enmendada pueden conducir a aumentos en las tarifas para ciertos clientes eléctricos y disminuciones para otros clientes eléctricos. La Solicitud enmendada no propone ningún cambio en los ingresos totales ni las tarifas de gas.  </w:t>
      </w:r>
    </w:p>
    <w:p w:rsidR="00860912" w:rsidRPr="00D7069B" w:rsidRDefault="00D7069B" w:rsidP="00860912">
      <w:pPr>
        <w:autoSpaceDE w:val="0"/>
        <w:autoSpaceDN w:val="0"/>
        <w:adjustRightInd w:val="0"/>
        <w:rPr>
          <w:lang w:val="es-ES"/>
        </w:rPr>
      </w:pPr>
    </w:p>
    <w:p w:rsidR="00860912" w:rsidRPr="00D7069B" w:rsidRDefault="00E07500" w:rsidP="00860912">
      <w:pPr>
        <w:autoSpaceDE w:val="0"/>
        <w:autoSpaceDN w:val="0"/>
        <w:adjustRightInd w:val="0"/>
        <w:rPr>
          <w:lang w:val="es-ES"/>
        </w:rPr>
      </w:pPr>
      <w:r>
        <w:rPr>
          <w:bdr w:val="nil"/>
          <w:lang w:val="es-ES" w:bidi="es-ES"/>
        </w:rPr>
        <w:t xml:space="preserve">En esta Solicitud enmendada, SDG&amp;E propone actualizar la forma en que diferentes costos relacionados con la distribución eléctrica (el proceso de distribuir energía en el nivel local, incluida su casa), la generación eléctrica (el costo de la electricidad) y los programas con fines públicos (como los programas para personas de bajos ingresos y de eficiencia energética) se asignan a las distintas clases de cliente. Para los costos de distribución y generación eléctrica, SDG&amp;E está proponiendo introducir gradualmente estos cambios a lo largo de un periodo de tres años a fin de minimizar las repercusiones para los clientes.  </w:t>
      </w:r>
    </w:p>
    <w:p w:rsidR="002679A4" w:rsidRPr="00D7069B" w:rsidRDefault="00D7069B" w:rsidP="00860912">
      <w:pPr>
        <w:autoSpaceDE w:val="0"/>
        <w:autoSpaceDN w:val="0"/>
        <w:adjustRightInd w:val="0"/>
        <w:rPr>
          <w:lang w:val="es-ES"/>
        </w:rPr>
      </w:pPr>
    </w:p>
    <w:p w:rsidR="00331813" w:rsidRPr="00D7069B" w:rsidRDefault="00E07500" w:rsidP="00860912">
      <w:pPr>
        <w:autoSpaceDE w:val="0"/>
        <w:autoSpaceDN w:val="0"/>
        <w:adjustRightInd w:val="0"/>
        <w:rPr>
          <w:lang w:val="es-ES"/>
        </w:rPr>
      </w:pPr>
      <w:r>
        <w:rPr>
          <w:bdr w:val="nil"/>
          <w:lang w:val="es-ES" w:bidi="es-ES"/>
        </w:rPr>
        <w:t xml:space="preserve">Además, SDG&amp;E propone (1) moverse gradualmente hacia tarifas que reflejen mejor el costo por prestar el servicio a clientes no residenciales; (2) ofrecer nuevas opciones tarifarias para clientes principalmente comerciales; (3) poner al día su pronóstico de ventas eléctricas, y (4) cambiar los periodos de tiempo para todas las tarifas según el horario de uso (TOU).  </w:t>
      </w:r>
    </w:p>
    <w:p w:rsidR="00331813" w:rsidRPr="00D7069B" w:rsidRDefault="00D7069B" w:rsidP="00860912">
      <w:pPr>
        <w:autoSpaceDE w:val="0"/>
        <w:autoSpaceDN w:val="0"/>
        <w:adjustRightInd w:val="0"/>
        <w:rPr>
          <w:lang w:val="es-ES"/>
        </w:rPr>
      </w:pPr>
    </w:p>
    <w:p w:rsidR="007A3BC3" w:rsidRPr="00D7069B" w:rsidRDefault="00E07500" w:rsidP="00860912">
      <w:pPr>
        <w:autoSpaceDE w:val="0"/>
        <w:autoSpaceDN w:val="0"/>
        <w:adjustRightInd w:val="0"/>
        <w:rPr>
          <w:lang w:val="es-ES"/>
        </w:rPr>
      </w:pPr>
      <w:r>
        <w:rPr>
          <w:bdr w:val="nil"/>
          <w:lang w:val="es-ES" w:bidi="es-ES"/>
        </w:rPr>
        <w:t>Con las tarifas TOU la electricidad se tasa en función de cuándo (estación y hora del día) un cliente consume electricidad. El precio de la electricidad es más alto cuando la demanda eléctrica es más alta. Para los periodos TOU, la mayor demanda de la red eléctrica se refiere al periodo pico (</w:t>
      </w:r>
      <w:r w:rsidRPr="00E2257E">
        <w:rPr>
          <w:i/>
          <w:bdr w:val="nil"/>
          <w:lang w:val="es-ES" w:bidi="es-ES"/>
        </w:rPr>
        <w:t>on-peak</w:t>
      </w:r>
      <w:r>
        <w:rPr>
          <w:bdr w:val="nil"/>
          <w:lang w:val="es-ES" w:bidi="es-ES"/>
        </w:rPr>
        <w:t>); las tarifas más bajas se cobran durante el periodo no pico (</w:t>
      </w:r>
      <w:r w:rsidRPr="00E2257E">
        <w:rPr>
          <w:i/>
          <w:bdr w:val="nil"/>
          <w:lang w:val="es-ES" w:bidi="es-ES"/>
        </w:rPr>
        <w:t>off-peak</w:t>
      </w:r>
      <w:r>
        <w:rPr>
          <w:bdr w:val="nil"/>
          <w:lang w:val="es-ES" w:bidi="es-ES"/>
        </w:rPr>
        <w:t xml:space="preserve">). Cómo y cuándo los clientes de SDG&amp;E consumen electricidad está cambiando. Para reflejar estos cambios con mayor precisión, SDG&amp;E está proponiendo poner al día sus periodos TOU para reflejar mejor las condiciones </w:t>
      </w:r>
      <w:r w:rsidR="00E2257E">
        <w:rPr>
          <w:bdr w:val="nil"/>
          <w:lang w:val="es-ES" w:bidi="es-ES"/>
        </w:rPr>
        <w:t xml:space="preserve">reales </w:t>
      </w:r>
      <w:r>
        <w:rPr>
          <w:bdr w:val="nil"/>
          <w:lang w:val="es-ES" w:bidi="es-ES"/>
        </w:rPr>
        <w:t xml:space="preserve">del sistema, según se resume en </w:t>
      </w:r>
      <w:r w:rsidR="00E2257E">
        <w:rPr>
          <w:bdr w:val="nil"/>
          <w:lang w:val="es-ES" w:bidi="es-ES"/>
        </w:rPr>
        <w:t xml:space="preserve">la </w:t>
      </w:r>
      <w:r>
        <w:rPr>
          <w:bdr w:val="nil"/>
          <w:lang w:val="es-ES" w:bidi="es-ES"/>
        </w:rPr>
        <w:t xml:space="preserve">siguiente </w:t>
      </w:r>
      <w:r w:rsidR="00E2257E">
        <w:rPr>
          <w:bdr w:val="nil"/>
          <w:lang w:val="es-ES" w:bidi="es-ES"/>
        </w:rPr>
        <w:t>tabla</w:t>
      </w:r>
      <w:r>
        <w:rPr>
          <w:bdr w:val="nil"/>
          <w:lang w:val="es-ES" w:bidi="es-ES"/>
        </w:rPr>
        <w:t xml:space="preserve">: </w:t>
      </w:r>
    </w:p>
    <w:p w:rsidR="00E2257E" w:rsidRPr="00D7069B" w:rsidRDefault="00E2257E">
      <w:pPr>
        <w:spacing w:after="200" w:line="276" w:lineRule="auto"/>
        <w:rPr>
          <w:lang w:val="es-ES"/>
        </w:rPr>
      </w:pPr>
      <w:r w:rsidRPr="00D7069B">
        <w:rPr>
          <w:lang w:val="es-ES"/>
        </w:rPr>
        <w:br w:type="page"/>
      </w:r>
    </w:p>
    <w:p w:rsidR="007A3BC3" w:rsidRPr="00D7069B" w:rsidRDefault="00D7069B" w:rsidP="00860912">
      <w:pPr>
        <w:autoSpaceDE w:val="0"/>
        <w:autoSpaceDN w:val="0"/>
        <w:adjustRightInd w:val="0"/>
        <w:rPr>
          <w:lang w:val="es-ES"/>
        </w:rPr>
      </w:pPr>
    </w:p>
    <w:tbl>
      <w:tblPr>
        <w:tblStyle w:val="TableGrid"/>
        <w:tblW w:w="0" w:type="auto"/>
        <w:tblLook w:val="04A0" w:firstRow="1" w:lastRow="0" w:firstColumn="1" w:lastColumn="0" w:noHBand="0" w:noVBand="1"/>
      </w:tblPr>
      <w:tblGrid>
        <w:gridCol w:w="1951"/>
        <w:gridCol w:w="3827"/>
        <w:gridCol w:w="3798"/>
      </w:tblGrid>
      <w:tr w:rsidR="002013BC" w:rsidTr="00327B04">
        <w:tc>
          <w:tcPr>
            <w:tcW w:w="9576" w:type="dxa"/>
            <w:gridSpan w:val="3"/>
          </w:tcPr>
          <w:p w:rsidR="007A3BC3" w:rsidRDefault="00E07500" w:rsidP="00860912">
            <w:pPr>
              <w:autoSpaceDE w:val="0"/>
              <w:autoSpaceDN w:val="0"/>
              <w:adjustRightInd w:val="0"/>
            </w:pPr>
            <w:r>
              <w:rPr>
                <w:b/>
                <w:bCs/>
                <w:bdr w:val="nil"/>
                <w:lang w:val="es-ES" w:bidi="es-ES"/>
              </w:rPr>
              <w:t>PERIODOS ACTUALES</w:t>
            </w:r>
            <w:r>
              <w:rPr>
                <w:bdr w:val="nil"/>
                <w:lang w:val="es-ES" w:bidi="es-ES"/>
              </w:rPr>
              <w:t xml:space="preserve"> *</w:t>
            </w:r>
          </w:p>
        </w:tc>
      </w:tr>
      <w:tr w:rsidR="002013BC" w:rsidRPr="00D7069B" w:rsidTr="00344C65">
        <w:tc>
          <w:tcPr>
            <w:tcW w:w="1951" w:type="dxa"/>
          </w:tcPr>
          <w:p w:rsidR="007A3BC3" w:rsidRDefault="00D7069B" w:rsidP="00860912">
            <w:pPr>
              <w:autoSpaceDE w:val="0"/>
              <w:autoSpaceDN w:val="0"/>
              <w:adjustRightInd w:val="0"/>
            </w:pPr>
          </w:p>
        </w:tc>
        <w:tc>
          <w:tcPr>
            <w:tcW w:w="3827" w:type="dxa"/>
          </w:tcPr>
          <w:p w:rsidR="007A3BC3" w:rsidRDefault="00E07500" w:rsidP="00860912">
            <w:pPr>
              <w:autoSpaceDE w:val="0"/>
              <w:autoSpaceDN w:val="0"/>
              <w:adjustRightInd w:val="0"/>
            </w:pPr>
            <w:r>
              <w:rPr>
                <w:bdr w:val="nil"/>
                <w:lang w:val="es-ES" w:bidi="es-ES"/>
              </w:rPr>
              <w:t>Días hábiles</w:t>
            </w:r>
          </w:p>
        </w:tc>
        <w:tc>
          <w:tcPr>
            <w:tcW w:w="3798" w:type="dxa"/>
          </w:tcPr>
          <w:p w:rsidR="007A3BC3" w:rsidRPr="00D7069B" w:rsidRDefault="00E07500" w:rsidP="00860912">
            <w:pPr>
              <w:autoSpaceDE w:val="0"/>
              <w:autoSpaceDN w:val="0"/>
              <w:adjustRightInd w:val="0"/>
              <w:rPr>
                <w:lang w:val="es-ES"/>
              </w:rPr>
            </w:pPr>
            <w:r>
              <w:rPr>
                <w:bdr w:val="nil"/>
                <w:lang w:val="es-ES" w:bidi="es-ES"/>
              </w:rPr>
              <w:t>Fines de semana/días festivos</w:t>
            </w:r>
          </w:p>
        </w:tc>
      </w:tr>
      <w:tr w:rsidR="002013BC" w:rsidTr="003D1AB1">
        <w:tc>
          <w:tcPr>
            <w:tcW w:w="9576" w:type="dxa"/>
            <w:gridSpan w:val="3"/>
          </w:tcPr>
          <w:p w:rsidR="00D2260A" w:rsidRPr="00831B30" w:rsidRDefault="00E07500" w:rsidP="00860912">
            <w:pPr>
              <w:autoSpaceDE w:val="0"/>
              <w:autoSpaceDN w:val="0"/>
              <w:adjustRightInd w:val="0"/>
              <w:rPr>
                <w:b/>
              </w:rPr>
            </w:pPr>
            <w:r>
              <w:rPr>
                <w:b/>
                <w:bCs/>
                <w:bdr w:val="nil"/>
                <w:lang w:val="es-ES" w:bidi="es-ES"/>
              </w:rPr>
              <w:t>Verano:</w:t>
            </w:r>
          </w:p>
        </w:tc>
      </w:tr>
      <w:tr w:rsidR="002013BC" w:rsidTr="00344C65">
        <w:tc>
          <w:tcPr>
            <w:tcW w:w="1951" w:type="dxa"/>
          </w:tcPr>
          <w:p w:rsidR="007A3BC3" w:rsidRDefault="00E07500" w:rsidP="00860912">
            <w:pPr>
              <w:autoSpaceDE w:val="0"/>
              <w:autoSpaceDN w:val="0"/>
              <w:adjustRightInd w:val="0"/>
            </w:pPr>
            <w:r>
              <w:rPr>
                <w:bdr w:val="nil"/>
                <w:lang w:val="es-ES" w:bidi="es-ES"/>
              </w:rPr>
              <w:t>Pico</w:t>
            </w:r>
          </w:p>
        </w:tc>
        <w:tc>
          <w:tcPr>
            <w:tcW w:w="3827" w:type="dxa"/>
          </w:tcPr>
          <w:p w:rsidR="007A3BC3" w:rsidRDefault="00E07500" w:rsidP="00B811E7">
            <w:pPr>
              <w:autoSpaceDE w:val="0"/>
              <w:autoSpaceDN w:val="0"/>
              <w:adjustRightInd w:val="0"/>
            </w:pPr>
            <w:r>
              <w:rPr>
                <w:bdr w:val="nil"/>
                <w:lang w:val="es-ES" w:bidi="es-ES"/>
              </w:rPr>
              <w:t>11 a. m. a 6 p. m.</w:t>
            </w:r>
          </w:p>
        </w:tc>
        <w:tc>
          <w:tcPr>
            <w:tcW w:w="3798" w:type="dxa"/>
          </w:tcPr>
          <w:p w:rsidR="007A3BC3" w:rsidRDefault="00E07500" w:rsidP="00860912">
            <w:pPr>
              <w:autoSpaceDE w:val="0"/>
              <w:autoSpaceDN w:val="0"/>
              <w:adjustRightInd w:val="0"/>
            </w:pPr>
            <w:r>
              <w:rPr>
                <w:bdr w:val="nil"/>
                <w:lang w:val="es-ES" w:bidi="es-ES"/>
              </w:rPr>
              <w:t>N/A</w:t>
            </w:r>
          </w:p>
        </w:tc>
      </w:tr>
      <w:tr w:rsidR="002013BC" w:rsidTr="00344C65">
        <w:tc>
          <w:tcPr>
            <w:tcW w:w="1951" w:type="dxa"/>
            <w:tcBorders>
              <w:bottom w:val="single" w:sz="4" w:space="0" w:color="auto"/>
            </w:tcBorders>
          </w:tcPr>
          <w:p w:rsidR="007A3BC3" w:rsidRDefault="00E07500" w:rsidP="00860912">
            <w:pPr>
              <w:autoSpaceDE w:val="0"/>
              <w:autoSpaceDN w:val="0"/>
              <w:adjustRightInd w:val="0"/>
            </w:pPr>
            <w:r>
              <w:rPr>
                <w:bdr w:val="nil"/>
                <w:lang w:val="es-ES" w:bidi="es-ES"/>
              </w:rPr>
              <w:t>Semipico</w:t>
            </w:r>
          </w:p>
        </w:tc>
        <w:tc>
          <w:tcPr>
            <w:tcW w:w="3827" w:type="dxa"/>
            <w:tcBorders>
              <w:bottom w:val="single" w:sz="4" w:space="0" w:color="auto"/>
            </w:tcBorders>
          </w:tcPr>
          <w:p w:rsidR="007A3BC3" w:rsidRPr="00D7069B" w:rsidRDefault="00E07500" w:rsidP="00B811E7">
            <w:pPr>
              <w:autoSpaceDE w:val="0"/>
              <w:autoSpaceDN w:val="0"/>
              <w:adjustRightInd w:val="0"/>
              <w:rPr>
                <w:lang w:val="es-ES"/>
              </w:rPr>
            </w:pPr>
            <w:r>
              <w:rPr>
                <w:bdr w:val="nil"/>
                <w:lang w:val="es-ES" w:bidi="es-ES"/>
              </w:rPr>
              <w:t>6 a. m. a 11 a. m. y 6 p. m. a 10 p. m.</w:t>
            </w:r>
          </w:p>
        </w:tc>
        <w:tc>
          <w:tcPr>
            <w:tcW w:w="3798" w:type="dxa"/>
            <w:tcBorders>
              <w:bottom w:val="single" w:sz="4" w:space="0" w:color="auto"/>
            </w:tcBorders>
          </w:tcPr>
          <w:p w:rsidR="007A3BC3" w:rsidRDefault="00E07500" w:rsidP="00860912">
            <w:pPr>
              <w:autoSpaceDE w:val="0"/>
              <w:autoSpaceDN w:val="0"/>
              <w:adjustRightInd w:val="0"/>
            </w:pPr>
            <w:r>
              <w:rPr>
                <w:bdr w:val="nil"/>
                <w:lang w:val="es-ES" w:bidi="es-ES"/>
              </w:rPr>
              <w:t>N/A</w:t>
            </w:r>
          </w:p>
        </w:tc>
      </w:tr>
      <w:tr w:rsidR="002013BC" w:rsidTr="00344C65">
        <w:tc>
          <w:tcPr>
            <w:tcW w:w="1951" w:type="dxa"/>
            <w:tcBorders>
              <w:bottom w:val="single" w:sz="4" w:space="0" w:color="auto"/>
            </w:tcBorders>
          </w:tcPr>
          <w:p w:rsidR="00D2260A" w:rsidRDefault="00E07500" w:rsidP="003A5C88">
            <w:pPr>
              <w:autoSpaceDE w:val="0"/>
              <w:autoSpaceDN w:val="0"/>
              <w:adjustRightInd w:val="0"/>
            </w:pPr>
            <w:r>
              <w:rPr>
                <w:bdr w:val="nil"/>
                <w:lang w:val="es-ES" w:bidi="es-ES"/>
              </w:rPr>
              <w:t>No pico</w:t>
            </w:r>
          </w:p>
        </w:tc>
        <w:tc>
          <w:tcPr>
            <w:tcW w:w="3827" w:type="dxa"/>
            <w:tcBorders>
              <w:bottom w:val="single" w:sz="4" w:space="0" w:color="auto"/>
            </w:tcBorders>
          </w:tcPr>
          <w:p w:rsidR="00D2260A" w:rsidRDefault="00E07500" w:rsidP="003A5C88">
            <w:pPr>
              <w:autoSpaceDE w:val="0"/>
              <w:autoSpaceDN w:val="0"/>
              <w:adjustRightInd w:val="0"/>
            </w:pPr>
            <w:r>
              <w:rPr>
                <w:bdr w:val="nil"/>
                <w:lang w:val="es-ES" w:bidi="es-ES"/>
              </w:rPr>
              <w:t>10 p. m. a 6 a. m.</w:t>
            </w:r>
          </w:p>
        </w:tc>
        <w:tc>
          <w:tcPr>
            <w:tcW w:w="3798" w:type="dxa"/>
            <w:tcBorders>
              <w:bottom w:val="single" w:sz="4" w:space="0" w:color="auto"/>
            </w:tcBorders>
          </w:tcPr>
          <w:p w:rsidR="00D2260A" w:rsidRDefault="00E07500" w:rsidP="003A5C88">
            <w:pPr>
              <w:autoSpaceDE w:val="0"/>
              <w:autoSpaceDN w:val="0"/>
              <w:adjustRightInd w:val="0"/>
            </w:pPr>
            <w:r>
              <w:rPr>
                <w:bdr w:val="nil"/>
                <w:lang w:val="es-ES" w:bidi="es-ES"/>
              </w:rPr>
              <w:t>Todos</w:t>
            </w:r>
          </w:p>
        </w:tc>
      </w:tr>
      <w:tr w:rsidR="002013BC" w:rsidTr="00C81404">
        <w:tc>
          <w:tcPr>
            <w:tcW w:w="9576" w:type="dxa"/>
            <w:gridSpan w:val="3"/>
            <w:tcBorders>
              <w:bottom w:val="single" w:sz="4" w:space="0" w:color="auto"/>
            </w:tcBorders>
          </w:tcPr>
          <w:p w:rsidR="00D2260A" w:rsidRDefault="00D7069B" w:rsidP="00860912">
            <w:pPr>
              <w:autoSpaceDE w:val="0"/>
              <w:autoSpaceDN w:val="0"/>
              <w:adjustRightInd w:val="0"/>
            </w:pPr>
          </w:p>
        </w:tc>
      </w:tr>
      <w:tr w:rsidR="002013BC" w:rsidTr="00E44871">
        <w:tc>
          <w:tcPr>
            <w:tcW w:w="9576" w:type="dxa"/>
            <w:gridSpan w:val="3"/>
            <w:tcBorders>
              <w:bottom w:val="nil"/>
            </w:tcBorders>
          </w:tcPr>
          <w:p w:rsidR="00D2260A" w:rsidRPr="00831B30" w:rsidRDefault="00E07500" w:rsidP="00860912">
            <w:pPr>
              <w:autoSpaceDE w:val="0"/>
              <w:autoSpaceDN w:val="0"/>
              <w:adjustRightInd w:val="0"/>
              <w:rPr>
                <w:b/>
              </w:rPr>
            </w:pPr>
            <w:r>
              <w:rPr>
                <w:b/>
                <w:bCs/>
                <w:bdr w:val="nil"/>
                <w:lang w:val="es-ES" w:bidi="es-ES"/>
              </w:rPr>
              <w:t>Invierno:</w:t>
            </w:r>
          </w:p>
        </w:tc>
      </w:tr>
      <w:tr w:rsidR="002013BC" w:rsidTr="00344C65">
        <w:tc>
          <w:tcPr>
            <w:tcW w:w="1951" w:type="dxa"/>
            <w:tcBorders>
              <w:bottom w:val="nil"/>
            </w:tcBorders>
          </w:tcPr>
          <w:p w:rsidR="00D2260A" w:rsidRDefault="00E07500" w:rsidP="00860912">
            <w:pPr>
              <w:autoSpaceDE w:val="0"/>
              <w:autoSpaceDN w:val="0"/>
              <w:adjustRightInd w:val="0"/>
            </w:pPr>
            <w:r>
              <w:rPr>
                <w:bdr w:val="nil"/>
                <w:lang w:val="es-ES" w:bidi="es-ES"/>
              </w:rPr>
              <w:t>Pico</w:t>
            </w:r>
          </w:p>
        </w:tc>
        <w:tc>
          <w:tcPr>
            <w:tcW w:w="3827" w:type="dxa"/>
            <w:tcBorders>
              <w:bottom w:val="nil"/>
            </w:tcBorders>
          </w:tcPr>
          <w:p w:rsidR="00D2260A" w:rsidRDefault="00E07500" w:rsidP="00860912">
            <w:pPr>
              <w:autoSpaceDE w:val="0"/>
              <w:autoSpaceDN w:val="0"/>
              <w:adjustRightInd w:val="0"/>
            </w:pPr>
            <w:r>
              <w:rPr>
                <w:bdr w:val="nil"/>
                <w:lang w:val="es-ES" w:bidi="es-ES"/>
              </w:rPr>
              <w:t>5 p. m. a 8 p. m.</w:t>
            </w:r>
          </w:p>
        </w:tc>
        <w:tc>
          <w:tcPr>
            <w:tcW w:w="3798" w:type="dxa"/>
            <w:tcBorders>
              <w:bottom w:val="nil"/>
            </w:tcBorders>
          </w:tcPr>
          <w:p w:rsidR="00D2260A" w:rsidRDefault="00E07500" w:rsidP="00860912">
            <w:pPr>
              <w:autoSpaceDE w:val="0"/>
              <w:autoSpaceDN w:val="0"/>
              <w:adjustRightInd w:val="0"/>
            </w:pPr>
            <w:r>
              <w:rPr>
                <w:bdr w:val="nil"/>
                <w:lang w:val="es-ES" w:bidi="es-ES"/>
              </w:rPr>
              <w:t>N/A</w:t>
            </w:r>
          </w:p>
        </w:tc>
      </w:tr>
      <w:tr w:rsidR="002013BC" w:rsidTr="00344C65">
        <w:tc>
          <w:tcPr>
            <w:tcW w:w="1951" w:type="dxa"/>
            <w:tcBorders>
              <w:bottom w:val="nil"/>
            </w:tcBorders>
          </w:tcPr>
          <w:p w:rsidR="00D2260A" w:rsidRDefault="00E07500" w:rsidP="00860912">
            <w:pPr>
              <w:autoSpaceDE w:val="0"/>
              <w:autoSpaceDN w:val="0"/>
              <w:adjustRightInd w:val="0"/>
            </w:pPr>
            <w:r>
              <w:rPr>
                <w:bdr w:val="nil"/>
                <w:lang w:val="es-ES" w:bidi="es-ES"/>
              </w:rPr>
              <w:t>Semipico</w:t>
            </w:r>
          </w:p>
        </w:tc>
        <w:tc>
          <w:tcPr>
            <w:tcW w:w="3827" w:type="dxa"/>
            <w:tcBorders>
              <w:bottom w:val="nil"/>
            </w:tcBorders>
          </w:tcPr>
          <w:p w:rsidR="00D2260A" w:rsidRPr="00D7069B" w:rsidRDefault="00E07500" w:rsidP="00860912">
            <w:pPr>
              <w:autoSpaceDE w:val="0"/>
              <w:autoSpaceDN w:val="0"/>
              <w:adjustRightInd w:val="0"/>
              <w:rPr>
                <w:lang w:val="es-ES"/>
              </w:rPr>
            </w:pPr>
            <w:r>
              <w:rPr>
                <w:bdr w:val="nil"/>
                <w:lang w:val="es-ES" w:bidi="es-ES"/>
              </w:rPr>
              <w:t>6 a. m. a 5 p. m. y 8 p. m. a 10 p. m.</w:t>
            </w:r>
          </w:p>
        </w:tc>
        <w:tc>
          <w:tcPr>
            <w:tcW w:w="3798" w:type="dxa"/>
            <w:tcBorders>
              <w:bottom w:val="nil"/>
            </w:tcBorders>
          </w:tcPr>
          <w:p w:rsidR="00D2260A" w:rsidRDefault="00E07500" w:rsidP="00860912">
            <w:pPr>
              <w:autoSpaceDE w:val="0"/>
              <w:autoSpaceDN w:val="0"/>
              <w:adjustRightInd w:val="0"/>
            </w:pPr>
            <w:r>
              <w:rPr>
                <w:bdr w:val="nil"/>
                <w:lang w:val="es-ES" w:bidi="es-ES"/>
              </w:rPr>
              <w:t>N/A</w:t>
            </w:r>
          </w:p>
        </w:tc>
      </w:tr>
      <w:tr w:rsidR="002013BC" w:rsidTr="00344C65">
        <w:tc>
          <w:tcPr>
            <w:tcW w:w="1951" w:type="dxa"/>
            <w:tcBorders>
              <w:bottom w:val="nil"/>
            </w:tcBorders>
          </w:tcPr>
          <w:p w:rsidR="00D2260A" w:rsidRPr="00831B30" w:rsidRDefault="00E07500" w:rsidP="00860912">
            <w:pPr>
              <w:autoSpaceDE w:val="0"/>
              <w:autoSpaceDN w:val="0"/>
              <w:adjustRightInd w:val="0"/>
              <w:rPr>
                <w:b/>
              </w:rPr>
            </w:pPr>
            <w:r>
              <w:rPr>
                <w:b/>
                <w:bCs/>
                <w:bdr w:val="nil"/>
                <w:lang w:val="es-ES" w:bidi="es-ES"/>
              </w:rPr>
              <w:t>No pico</w:t>
            </w:r>
          </w:p>
        </w:tc>
        <w:tc>
          <w:tcPr>
            <w:tcW w:w="3827" w:type="dxa"/>
            <w:tcBorders>
              <w:bottom w:val="nil"/>
            </w:tcBorders>
          </w:tcPr>
          <w:p w:rsidR="00D2260A" w:rsidRDefault="00E07500" w:rsidP="00860912">
            <w:pPr>
              <w:autoSpaceDE w:val="0"/>
              <w:autoSpaceDN w:val="0"/>
              <w:adjustRightInd w:val="0"/>
            </w:pPr>
            <w:r>
              <w:rPr>
                <w:bdr w:val="nil"/>
                <w:lang w:val="es-ES" w:bidi="es-ES"/>
              </w:rPr>
              <w:t>10 p. m. a 6 a. m.</w:t>
            </w:r>
          </w:p>
        </w:tc>
        <w:tc>
          <w:tcPr>
            <w:tcW w:w="3798" w:type="dxa"/>
            <w:tcBorders>
              <w:bottom w:val="nil"/>
            </w:tcBorders>
          </w:tcPr>
          <w:p w:rsidR="00D2260A" w:rsidRDefault="00E07500" w:rsidP="00860912">
            <w:pPr>
              <w:autoSpaceDE w:val="0"/>
              <w:autoSpaceDN w:val="0"/>
              <w:adjustRightInd w:val="0"/>
            </w:pPr>
            <w:r>
              <w:rPr>
                <w:bdr w:val="nil"/>
                <w:lang w:val="es-ES" w:bidi="es-ES"/>
              </w:rPr>
              <w:t>Todos</w:t>
            </w:r>
          </w:p>
        </w:tc>
      </w:tr>
      <w:tr w:rsidR="002013BC" w:rsidTr="00B811E7">
        <w:tc>
          <w:tcPr>
            <w:tcW w:w="9576" w:type="dxa"/>
            <w:gridSpan w:val="3"/>
            <w:tcBorders>
              <w:top w:val="nil"/>
              <w:bottom w:val="nil"/>
            </w:tcBorders>
          </w:tcPr>
          <w:p w:rsidR="00D2260A" w:rsidRDefault="00D7069B" w:rsidP="00860912">
            <w:pPr>
              <w:autoSpaceDE w:val="0"/>
              <w:autoSpaceDN w:val="0"/>
              <w:adjustRightInd w:val="0"/>
            </w:pPr>
          </w:p>
        </w:tc>
      </w:tr>
      <w:tr w:rsidR="002013BC" w:rsidTr="00B811E7">
        <w:tc>
          <w:tcPr>
            <w:tcW w:w="9576" w:type="dxa"/>
            <w:gridSpan w:val="3"/>
            <w:tcBorders>
              <w:top w:val="nil"/>
            </w:tcBorders>
          </w:tcPr>
          <w:p w:rsidR="00D2260A" w:rsidRPr="001B5122" w:rsidRDefault="00E07500" w:rsidP="00860912">
            <w:pPr>
              <w:autoSpaceDE w:val="0"/>
              <w:autoSpaceDN w:val="0"/>
              <w:adjustRightInd w:val="0"/>
              <w:rPr>
                <w:b/>
              </w:rPr>
            </w:pPr>
            <w:r>
              <w:rPr>
                <w:b/>
                <w:bCs/>
                <w:bdr w:val="nil"/>
                <w:lang w:val="es-ES" w:bidi="es-ES"/>
              </w:rPr>
              <w:t>PERIODOS PROPUESTOS</w:t>
            </w:r>
          </w:p>
        </w:tc>
      </w:tr>
      <w:tr w:rsidR="002013BC" w:rsidTr="00942937">
        <w:tc>
          <w:tcPr>
            <w:tcW w:w="9576" w:type="dxa"/>
            <w:gridSpan w:val="3"/>
          </w:tcPr>
          <w:p w:rsidR="00D2260A" w:rsidRDefault="00E07500" w:rsidP="00860912">
            <w:pPr>
              <w:autoSpaceDE w:val="0"/>
              <w:autoSpaceDN w:val="0"/>
              <w:adjustRightInd w:val="0"/>
            </w:pPr>
            <w:r>
              <w:rPr>
                <w:bdr w:val="nil"/>
                <w:lang w:val="es-ES" w:bidi="es-ES"/>
              </w:rPr>
              <w:t>Todo el año:</w:t>
            </w:r>
          </w:p>
        </w:tc>
      </w:tr>
      <w:tr w:rsidR="002013BC" w:rsidTr="00344C65">
        <w:tc>
          <w:tcPr>
            <w:tcW w:w="1951" w:type="dxa"/>
          </w:tcPr>
          <w:p w:rsidR="00D2260A" w:rsidRDefault="00E07500" w:rsidP="00860912">
            <w:pPr>
              <w:autoSpaceDE w:val="0"/>
              <w:autoSpaceDN w:val="0"/>
              <w:adjustRightInd w:val="0"/>
            </w:pPr>
            <w:r>
              <w:rPr>
                <w:bdr w:val="nil"/>
                <w:lang w:val="es-ES" w:bidi="es-ES"/>
              </w:rPr>
              <w:t>Pico</w:t>
            </w:r>
          </w:p>
        </w:tc>
        <w:tc>
          <w:tcPr>
            <w:tcW w:w="3827" w:type="dxa"/>
          </w:tcPr>
          <w:p w:rsidR="00D2260A" w:rsidRDefault="00E07500" w:rsidP="00860912">
            <w:pPr>
              <w:autoSpaceDE w:val="0"/>
              <w:autoSpaceDN w:val="0"/>
              <w:adjustRightInd w:val="0"/>
            </w:pPr>
            <w:r>
              <w:rPr>
                <w:bdr w:val="nil"/>
                <w:lang w:val="es-ES" w:bidi="es-ES"/>
              </w:rPr>
              <w:t>4 p. m. a 9 p. m.</w:t>
            </w:r>
          </w:p>
        </w:tc>
        <w:tc>
          <w:tcPr>
            <w:tcW w:w="3798" w:type="dxa"/>
          </w:tcPr>
          <w:p w:rsidR="00D2260A" w:rsidRDefault="00E07500" w:rsidP="00860912">
            <w:pPr>
              <w:autoSpaceDE w:val="0"/>
              <w:autoSpaceDN w:val="0"/>
              <w:adjustRightInd w:val="0"/>
            </w:pPr>
            <w:r>
              <w:rPr>
                <w:bdr w:val="nil"/>
                <w:lang w:val="es-ES" w:bidi="es-ES"/>
              </w:rPr>
              <w:t>4 p. m. a 9 p. m.</w:t>
            </w:r>
          </w:p>
        </w:tc>
      </w:tr>
      <w:tr w:rsidR="002013BC" w:rsidRPr="00D7069B" w:rsidTr="00344C65">
        <w:tc>
          <w:tcPr>
            <w:tcW w:w="1951" w:type="dxa"/>
          </w:tcPr>
          <w:p w:rsidR="00D2260A" w:rsidRDefault="00E07500" w:rsidP="00860912">
            <w:pPr>
              <w:autoSpaceDE w:val="0"/>
              <w:autoSpaceDN w:val="0"/>
              <w:adjustRightInd w:val="0"/>
            </w:pPr>
            <w:r>
              <w:rPr>
                <w:bdr w:val="nil"/>
                <w:lang w:val="es-ES" w:bidi="es-ES"/>
              </w:rPr>
              <w:t>No pico</w:t>
            </w:r>
          </w:p>
        </w:tc>
        <w:tc>
          <w:tcPr>
            <w:tcW w:w="3827" w:type="dxa"/>
          </w:tcPr>
          <w:p w:rsidR="00D2260A" w:rsidRPr="00D7069B" w:rsidRDefault="00E07500" w:rsidP="00860912">
            <w:pPr>
              <w:autoSpaceDE w:val="0"/>
              <w:autoSpaceDN w:val="0"/>
              <w:adjustRightInd w:val="0"/>
              <w:rPr>
                <w:lang w:val="es-ES"/>
              </w:rPr>
            </w:pPr>
            <w:r>
              <w:rPr>
                <w:bdr w:val="nil"/>
                <w:lang w:val="es-ES" w:bidi="es-ES"/>
              </w:rPr>
              <w:t>6 a. m. a 4 p. m. y 9 p. m. a 12 a. m.</w:t>
            </w:r>
          </w:p>
        </w:tc>
        <w:tc>
          <w:tcPr>
            <w:tcW w:w="3798" w:type="dxa"/>
          </w:tcPr>
          <w:p w:rsidR="00D2260A" w:rsidRPr="00D7069B" w:rsidRDefault="00E07500" w:rsidP="00860912">
            <w:pPr>
              <w:autoSpaceDE w:val="0"/>
              <w:autoSpaceDN w:val="0"/>
              <w:adjustRightInd w:val="0"/>
              <w:rPr>
                <w:lang w:val="es-ES"/>
              </w:rPr>
            </w:pPr>
            <w:r>
              <w:rPr>
                <w:bdr w:val="nil"/>
                <w:lang w:val="es-ES" w:bidi="es-ES"/>
              </w:rPr>
              <w:t>2 p. m. a 4 p. m. y 9 p. m. a 12 a. m.</w:t>
            </w:r>
          </w:p>
        </w:tc>
      </w:tr>
      <w:tr w:rsidR="002013BC" w:rsidTr="00344C65">
        <w:tc>
          <w:tcPr>
            <w:tcW w:w="1951" w:type="dxa"/>
          </w:tcPr>
          <w:p w:rsidR="00D2260A" w:rsidRDefault="00E07500" w:rsidP="00860912">
            <w:pPr>
              <w:autoSpaceDE w:val="0"/>
              <w:autoSpaceDN w:val="0"/>
              <w:adjustRightInd w:val="0"/>
            </w:pPr>
            <w:r>
              <w:rPr>
                <w:bdr w:val="nil"/>
                <w:lang w:val="es-ES" w:bidi="es-ES"/>
              </w:rPr>
              <w:t>Súper No pico</w:t>
            </w:r>
          </w:p>
        </w:tc>
        <w:tc>
          <w:tcPr>
            <w:tcW w:w="3827" w:type="dxa"/>
          </w:tcPr>
          <w:p w:rsidR="00D2260A" w:rsidRDefault="00E07500" w:rsidP="00860912">
            <w:pPr>
              <w:autoSpaceDE w:val="0"/>
              <w:autoSpaceDN w:val="0"/>
              <w:adjustRightInd w:val="0"/>
            </w:pPr>
            <w:r>
              <w:rPr>
                <w:bdr w:val="nil"/>
                <w:lang w:val="es-ES" w:bidi="es-ES"/>
              </w:rPr>
              <w:t>12 a. m. a 6 a. m.</w:t>
            </w:r>
          </w:p>
        </w:tc>
        <w:tc>
          <w:tcPr>
            <w:tcW w:w="3798" w:type="dxa"/>
          </w:tcPr>
          <w:p w:rsidR="00D2260A" w:rsidRDefault="00E07500" w:rsidP="00860912">
            <w:pPr>
              <w:autoSpaceDE w:val="0"/>
              <w:autoSpaceDN w:val="0"/>
              <w:adjustRightInd w:val="0"/>
            </w:pPr>
            <w:r>
              <w:rPr>
                <w:bdr w:val="nil"/>
                <w:lang w:val="es-ES" w:bidi="es-ES"/>
              </w:rPr>
              <w:t xml:space="preserve">12 a. m. a 2 p. m. </w:t>
            </w:r>
          </w:p>
        </w:tc>
      </w:tr>
    </w:tbl>
    <w:p w:rsidR="007A3BC3" w:rsidRPr="00D7069B" w:rsidRDefault="00E07500" w:rsidP="00860912">
      <w:pPr>
        <w:autoSpaceDE w:val="0"/>
        <w:autoSpaceDN w:val="0"/>
        <w:adjustRightInd w:val="0"/>
        <w:rPr>
          <w:lang w:val="es-ES"/>
        </w:rPr>
      </w:pPr>
      <w:r>
        <w:rPr>
          <w:bdr w:val="nil"/>
          <w:lang w:val="es-ES" w:bidi="es-ES"/>
        </w:rPr>
        <w:t>* Representa los periodos TOU estándar actuales de SDG&amp;E. Las diversas tarifas opcionales tienen periodos TOU diferentes al estándar.</w:t>
      </w:r>
    </w:p>
    <w:p w:rsidR="002955F3" w:rsidRPr="00D7069B" w:rsidRDefault="00D7069B" w:rsidP="00860912">
      <w:pPr>
        <w:autoSpaceDE w:val="0"/>
        <w:autoSpaceDN w:val="0"/>
        <w:adjustRightInd w:val="0"/>
        <w:rPr>
          <w:lang w:val="es-ES"/>
        </w:rPr>
      </w:pPr>
    </w:p>
    <w:p w:rsidR="00860912" w:rsidRPr="00D7069B" w:rsidRDefault="00E07500" w:rsidP="00860912">
      <w:pPr>
        <w:autoSpaceDE w:val="0"/>
        <w:autoSpaceDN w:val="0"/>
        <w:adjustRightInd w:val="0"/>
        <w:rPr>
          <w:lang w:val="es-ES"/>
        </w:rPr>
      </w:pPr>
      <w:r>
        <w:rPr>
          <w:bdr w:val="nil"/>
          <w:lang w:val="es-ES" w:bidi="es-ES"/>
        </w:rPr>
        <w:t>SDG&amp;E también está proponiendo un cambio en sus horas de eventos de Precios por picos críticos (CPP) que actualmente son de  11 a. m. a  6 p. m. todo el año. De aprobarse, los CPP cambiarían al periodo de 2 p. m. a 6 p. m. todo el año. La CPP es una tarifa en la cual los precios se pueden ajustar con poco anticipación de manera que SDG&amp;E puede responder ante condiciones inusuales del sistema. Se cobran tarifas más altas durante horas de evento (</w:t>
      </w:r>
      <w:r w:rsidRPr="00657CD0">
        <w:rPr>
          <w:i/>
          <w:bdr w:val="nil"/>
          <w:lang w:val="es-ES" w:bidi="es-ES"/>
        </w:rPr>
        <w:t>event hours</w:t>
      </w:r>
      <w:r>
        <w:rPr>
          <w:bdr w:val="nil"/>
          <w:lang w:val="es-ES" w:bidi="es-ES"/>
        </w:rPr>
        <w:t>) en un día de evento CPP.  Ello ofrece a los clientes participantes un incentivo para cambiar el consumo a horas fuera del evento (</w:t>
      </w:r>
      <w:r w:rsidRPr="00657CD0">
        <w:rPr>
          <w:i/>
          <w:bdr w:val="nil"/>
          <w:lang w:val="es-ES" w:bidi="es-ES"/>
        </w:rPr>
        <w:t>non-event hours</w:t>
      </w:r>
      <w:r>
        <w:rPr>
          <w:bdr w:val="nil"/>
          <w:lang w:val="es-ES" w:bidi="es-ES"/>
        </w:rPr>
        <w:t>).</w:t>
      </w:r>
    </w:p>
    <w:p w:rsidR="00860912" w:rsidRPr="00D7069B" w:rsidRDefault="00D7069B" w:rsidP="00860912">
      <w:pPr>
        <w:autoSpaceDE w:val="0"/>
        <w:autoSpaceDN w:val="0"/>
        <w:adjustRightInd w:val="0"/>
        <w:rPr>
          <w:b/>
          <w:bCs/>
          <w:lang w:val="es-ES"/>
        </w:rPr>
      </w:pPr>
      <w:bookmarkStart w:id="1" w:name="_DV_M51"/>
      <w:bookmarkEnd w:id="1"/>
    </w:p>
    <w:p w:rsidR="00860912" w:rsidRPr="00D7069B" w:rsidRDefault="00E07500" w:rsidP="006D5F5B">
      <w:pPr>
        <w:autoSpaceDE w:val="0"/>
        <w:autoSpaceDN w:val="0"/>
        <w:adjustRightInd w:val="0"/>
        <w:rPr>
          <w:b/>
          <w:bCs/>
          <w:lang w:val="es-ES"/>
        </w:rPr>
      </w:pPr>
      <w:r>
        <w:rPr>
          <w:b/>
          <w:bCs/>
          <w:bdr w:val="nil"/>
          <w:lang w:val="es-ES" w:bidi="es-ES"/>
        </w:rPr>
        <w:t>IMPACTO ESTIMADO DE ESTA SOLICITUD EN LAS TARIFAS ELÉCTRICAS</w:t>
      </w:r>
    </w:p>
    <w:p w:rsidR="00860912" w:rsidRPr="00D7069B" w:rsidRDefault="00E07500" w:rsidP="001618F4">
      <w:pPr>
        <w:autoSpaceDE w:val="0"/>
        <w:autoSpaceDN w:val="0"/>
        <w:adjustRightInd w:val="0"/>
        <w:rPr>
          <w:lang w:val="es-ES"/>
        </w:rPr>
      </w:pPr>
      <w:r>
        <w:rPr>
          <w:bdr w:val="nil"/>
          <w:lang w:val="es-ES" w:bidi="es-ES"/>
        </w:rPr>
        <w:t xml:space="preserve">Si la CPUC aprueba la solicitud de SDG&amp;E, un cliente residencial típico que viva en la zona climática del interior y consuma un promedio de 500 </w:t>
      </w:r>
      <w:proofErr w:type="spellStart"/>
      <w:r w:rsidR="00657CD0">
        <w:rPr>
          <w:bdr w:val="nil"/>
          <w:lang w:val="es-ES" w:bidi="es-ES"/>
        </w:rPr>
        <w:t>k</w:t>
      </w:r>
      <w:r>
        <w:rPr>
          <w:bdr w:val="nil"/>
          <w:lang w:val="es-ES" w:bidi="es-ES"/>
        </w:rPr>
        <w:t>Wh</w:t>
      </w:r>
      <w:proofErr w:type="spellEnd"/>
      <w:r>
        <w:rPr>
          <w:bdr w:val="nil"/>
          <w:lang w:val="es-ES" w:bidi="es-ES"/>
        </w:rPr>
        <w:t xml:space="preserve"> al mes verá un incremento en la factura mensual de invierno de $10.37, o 9.7%, del presente al Año 1, $2.05, o 1.8% del Año 1 al Año 2, y de $1.26, o 1.1%, del Año 2 al Año 3. Una factura eléctrica mensual típica aumentará de $106.89 a $117.26 del presente al Año 1, y $119.31 para el Año 2, y $120.57 para el Año 3. Los montos en dólares y los porcentajes mostrados no necesariamente reflejan los cambios exactos que usted tal vez vea en su factura. Los cambios en las facturas individuales dependerán también de cuánta electricidad consuma cada cliente. SDG&amp;E está proyectando que, en general, los clientes comerciales e industriales medianos/grandes, así como los clientes agrícolas verán una disminución en sus facturas eléctricas mensuales como resultado de esta Solicitud enmendada. Sin embargo, esta proyección se basa en promedios. Los clientes individuales podrían ver aumentos o reducciones dependiendo del consumo eléctrico. La tabla 1 a continuación muestra una comparación de las tarifas actuales promedio por clase con las tarifas propuestas para los Años 1, 2 y 3. </w:t>
      </w:r>
    </w:p>
    <w:p w:rsidR="00C56109" w:rsidRPr="00D7069B" w:rsidRDefault="00D7069B" w:rsidP="00C56109">
      <w:pPr>
        <w:autoSpaceDE w:val="0"/>
        <w:autoSpaceDN w:val="0"/>
        <w:adjustRightInd w:val="0"/>
        <w:jc w:val="center"/>
        <w:rPr>
          <w:b/>
          <w:lang w:val="es-ES"/>
        </w:rPr>
      </w:pPr>
    </w:p>
    <w:p w:rsidR="003C58E7" w:rsidRDefault="003C58E7">
      <w:pPr>
        <w:spacing w:after="200" w:line="276" w:lineRule="auto"/>
        <w:rPr>
          <w:b/>
          <w:bCs/>
          <w:bdr w:val="nil"/>
          <w:lang w:val="es-ES" w:bidi="es-ES"/>
        </w:rPr>
      </w:pPr>
      <w:r>
        <w:rPr>
          <w:b/>
          <w:bCs/>
          <w:bdr w:val="nil"/>
          <w:lang w:val="es-ES" w:bidi="es-ES"/>
        </w:rPr>
        <w:br w:type="page"/>
      </w:r>
    </w:p>
    <w:p w:rsidR="001618F4" w:rsidRPr="00D7069B" w:rsidRDefault="00E07500" w:rsidP="001618F4">
      <w:pPr>
        <w:autoSpaceDE w:val="0"/>
        <w:autoSpaceDN w:val="0"/>
        <w:adjustRightInd w:val="0"/>
        <w:jc w:val="center"/>
        <w:rPr>
          <w:b/>
          <w:lang w:val="es-ES"/>
        </w:rPr>
      </w:pPr>
      <w:r>
        <w:rPr>
          <w:b/>
          <w:bCs/>
          <w:bdr w:val="nil"/>
          <w:lang w:val="es-ES" w:bidi="es-ES"/>
        </w:rPr>
        <w:lastRenderedPageBreak/>
        <w:t>Tabla 1: Propuesta de SDG&amp;E comparada con las tarifas actuales en vigor</w:t>
      </w:r>
    </w:p>
    <w:p w:rsidR="001618F4" w:rsidRPr="00D7069B" w:rsidRDefault="00D7069B" w:rsidP="001618F4">
      <w:pPr>
        <w:autoSpaceDE w:val="0"/>
        <w:autoSpaceDN w:val="0"/>
        <w:adjustRightInd w:val="0"/>
        <w:jc w:val="both"/>
        <w:rPr>
          <w:lang w:val="es-ES"/>
        </w:rPr>
      </w:pPr>
    </w:p>
    <w:tbl>
      <w:tblPr>
        <w:tblW w:w="12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130"/>
        <w:gridCol w:w="1080"/>
        <w:gridCol w:w="1170"/>
        <w:gridCol w:w="810"/>
        <w:gridCol w:w="921"/>
        <w:gridCol w:w="1096"/>
        <w:gridCol w:w="864"/>
        <w:gridCol w:w="956"/>
        <w:gridCol w:w="1096"/>
        <w:gridCol w:w="864"/>
        <w:gridCol w:w="956"/>
      </w:tblGrid>
      <w:tr w:rsidR="002013BC" w:rsidRPr="00D7069B" w:rsidTr="003A5C88">
        <w:trPr>
          <w:trHeight w:val="287"/>
          <w:jc w:val="center"/>
        </w:trPr>
        <w:tc>
          <w:tcPr>
            <w:tcW w:w="1304" w:type="dxa"/>
            <w:tcBorders>
              <w:bottom w:val="nil"/>
            </w:tcBorders>
            <w:vAlign w:val="bottom"/>
          </w:tcPr>
          <w:p w:rsidR="001618F4" w:rsidRPr="00D7069B" w:rsidRDefault="00D7069B" w:rsidP="003A5C88">
            <w:pPr>
              <w:autoSpaceDE w:val="0"/>
              <w:autoSpaceDN w:val="0"/>
              <w:adjustRightInd w:val="0"/>
              <w:jc w:val="both"/>
              <w:rPr>
                <w:b/>
                <w:sz w:val="18"/>
                <w:szCs w:val="18"/>
                <w:lang w:val="es-ES"/>
              </w:rPr>
            </w:pPr>
          </w:p>
        </w:tc>
        <w:tc>
          <w:tcPr>
            <w:tcW w:w="1130" w:type="dxa"/>
            <w:tcBorders>
              <w:bottom w:val="nil"/>
            </w:tcBorders>
            <w:vAlign w:val="bottom"/>
          </w:tcPr>
          <w:p w:rsidR="001618F4" w:rsidRPr="00D7069B" w:rsidRDefault="00D7069B" w:rsidP="003A5C88">
            <w:pPr>
              <w:autoSpaceDE w:val="0"/>
              <w:autoSpaceDN w:val="0"/>
              <w:adjustRightInd w:val="0"/>
              <w:jc w:val="center"/>
              <w:rPr>
                <w:b/>
                <w:sz w:val="18"/>
                <w:szCs w:val="18"/>
                <w:lang w:val="es-ES"/>
              </w:rPr>
            </w:pPr>
          </w:p>
        </w:tc>
        <w:tc>
          <w:tcPr>
            <w:tcW w:w="1080" w:type="dxa"/>
            <w:tcBorders>
              <w:bottom w:val="nil"/>
            </w:tcBorders>
          </w:tcPr>
          <w:p w:rsidR="001618F4" w:rsidRPr="00D7069B" w:rsidRDefault="00D7069B" w:rsidP="003A5C88">
            <w:pPr>
              <w:autoSpaceDE w:val="0"/>
              <w:autoSpaceDN w:val="0"/>
              <w:adjustRightInd w:val="0"/>
              <w:jc w:val="center"/>
              <w:rPr>
                <w:b/>
                <w:sz w:val="18"/>
                <w:szCs w:val="18"/>
                <w:lang w:val="es-ES"/>
              </w:rPr>
            </w:pPr>
          </w:p>
        </w:tc>
        <w:tc>
          <w:tcPr>
            <w:tcW w:w="1170" w:type="dxa"/>
            <w:tcBorders>
              <w:bottom w:val="nil"/>
            </w:tcBorders>
            <w:vAlign w:val="bottom"/>
          </w:tcPr>
          <w:p w:rsidR="001618F4" w:rsidRPr="00D7069B" w:rsidRDefault="00D7069B" w:rsidP="003A5C88">
            <w:pPr>
              <w:autoSpaceDE w:val="0"/>
              <w:autoSpaceDN w:val="0"/>
              <w:adjustRightInd w:val="0"/>
              <w:jc w:val="center"/>
              <w:rPr>
                <w:b/>
                <w:sz w:val="18"/>
                <w:szCs w:val="18"/>
                <w:lang w:val="es-ES"/>
              </w:rPr>
            </w:pPr>
          </w:p>
        </w:tc>
        <w:tc>
          <w:tcPr>
            <w:tcW w:w="1731" w:type="dxa"/>
            <w:gridSpan w:val="2"/>
            <w:tcBorders>
              <w:bottom w:val="nil"/>
            </w:tcBorders>
            <w:vAlign w:val="bottom"/>
          </w:tcPr>
          <w:p w:rsidR="001618F4" w:rsidRPr="00D7069B" w:rsidRDefault="00E07500" w:rsidP="00C8316B">
            <w:pPr>
              <w:autoSpaceDE w:val="0"/>
              <w:autoSpaceDN w:val="0"/>
              <w:adjustRightInd w:val="0"/>
              <w:jc w:val="center"/>
              <w:rPr>
                <w:b/>
                <w:sz w:val="18"/>
                <w:szCs w:val="18"/>
                <w:lang w:val="es-ES"/>
              </w:rPr>
            </w:pPr>
            <w:r w:rsidRPr="00C8316B">
              <w:rPr>
                <w:b/>
                <w:bCs/>
                <w:sz w:val="18"/>
                <w:szCs w:val="18"/>
                <w:bdr w:val="nil"/>
                <w:lang w:val="es-ES" w:bidi="es-ES"/>
              </w:rPr>
              <w:t>Cambio del presente al Año 1</w:t>
            </w:r>
          </w:p>
        </w:tc>
        <w:tc>
          <w:tcPr>
            <w:tcW w:w="1096" w:type="dxa"/>
            <w:tcBorders>
              <w:bottom w:val="nil"/>
            </w:tcBorders>
            <w:vAlign w:val="bottom"/>
          </w:tcPr>
          <w:p w:rsidR="001618F4" w:rsidRPr="00D7069B" w:rsidRDefault="00D7069B" w:rsidP="003A5C88">
            <w:pPr>
              <w:autoSpaceDE w:val="0"/>
              <w:autoSpaceDN w:val="0"/>
              <w:adjustRightInd w:val="0"/>
              <w:jc w:val="center"/>
              <w:rPr>
                <w:b/>
                <w:sz w:val="18"/>
                <w:szCs w:val="18"/>
                <w:lang w:val="es-ES"/>
              </w:rPr>
            </w:pPr>
          </w:p>
        </w:tc>
        <w:tc>
          <w:tcPr>
            <w:tcW w:w="1820" w:type="dxa"/>
            <w:gridSpan w:val="2"/>
            <w:tcBorders>
              <w:bottom w:val="nil"/>
            </w:tcBorders>
            <w:vAlign w:val="bottom"/>
          </w:tcPr>
          <w:p w:rsidR="001618F4" w:rsidRPr="00D7069B" w:rsidRDefault="00E07500" w:rsidP="00C8316B">
            <w:pPr>
              <w:autoSpaceDE w:val="0"/>
              <w:autoSpaceDN w:val="0"/>
              <w:adjustRightInd w:val="0"/>
              <w:jc w:val="center"/>
              <w:rPr>
                <w:b/>
                <w:sz w:val="18"/>
                <w:szCs w:val="18"/>
                <w:lang w:val="es-ES"/>
              </w:rPr>
            </w:pPr>
            <w:r w:rsidRPr="00C8316B">
              <w:rPr>
                <w:b/>
                <w:bCs/>
                <w:sz w:val="18"/>
                <w:szCs w:val="18"/>
                <w:bdr w:val="nil"/>
                <w:lang w:val="es-ES" w:bidi="es-ES"/>
              </w:rPr>
              <w:t>Cambio del presente al Año 2</w:t>
            </w:r>
          </w:p>
        </w:tc>
        <w:tc>
          <w:tcPr>
            <w:tcW w:w="1096" w:type="dxa"/>
            <w:tcBorders>
              <w:bottom w:val="nil"/>
            </w:tcBorders>
            <w:vAlign w:val="bottom"/>
          </w:tcPr>
          <w:p w:rsidR="001618F4" w:rsidRPr="00D7069B" w:rsidRDefault="00D7069B" w:rsidP="003A5C88">
            <w:pPr>
              <w:autoSpaceDE w:val="0"/>
              <w:autoSpaceDN w:val="0"/>
              <w:adjustRightInd w:val="0"/>
              <w:jc w:val="center"/>
              <w:rPr>
                <w:b/>
                <w:sz w:val="18"/>
                <w:szCs w:val="18"/>
                <w:lang w:val="es-ES"/>
              </w:rPr>
            </w:pPr>
          </w:p>
        </w:tc>
        <w:tc>
          <w:tcPr>
            <w:tcW w:w="1820" w:type="dxa"/>
            <w:gridSpan w:val="2"/>
            <w:tcBorders>
              <w:bottom w:val="nil"/>
            </w:tcBorders>
            <w:vAlign w:val="bottom"/>
          </w:tcPr>
          <w:p w:rsidR="001618F4" w:rsidRPr="00D7069B" w:rsidRDefault="00E07500" w:rsidP="00C8316B">
            <w:pPr>
              <w:autoSpaceDE w:val="0"/>
              <w:autoSpaceDN w:val="0"/>
              <w:adjustRightInd w:val="0"/>
              <w:jc w:val="center"/>
              <w:rPr>
                <w:b/>
                <w:sz w:val="18"/>
                <w:szCs w:val="18"/>
                <w:lang w:val="es-ES"/>
              </w:rPr>
            </w:pPr>
            <w:r w:rsidRPr="00C8316B">
              <w:rPr>
                <w:b/>
                <w:bCs/>
                <w:sz w:val="18"/>
                <w:szCs w:val="18"/>
                <w:bdr w:val="nil"/>
                <w:lang w:val="es-ES" w:bidi="es-ES"/>
              </w:rPr>
              <w:t>Cambio del presente al Año 3</w:t>
            </w:r>
          </w:p>
        </w:tc>
      </w:tr>
      <w:tr w:rsidR="002013BC" w:rsidRPr="00C8316B" w:rsidTr="003A5C88">
        <w:trPr>
          <w:trHeight w:val="786"/>
          <w:jc w:val="center"/>
        </w:trPr>
        <w:tc>
          <w:tcPr>
            <w:tcW w:w="1304" w:type="dxa"/>
            <w:tcBorders>
              <w:top w:val="nil"/>
            </w:tcBorders>
            <w:vAlign w:val="bottom"/>
          </w:tcPr>
          <w:p w:rsidR="001618F4" w:rsidRPr="00C8316B" w:rsidRDefault="00E07500" w:rsidP="003A5C88">
            <w:pPr>
              <w:autoSpaceDE w:val="0"/>
              <w:autoSpaceDN w:val="0"/>
              <w:adjustRightInd w:val="0"/>
              <w:jc w:val="center"/>
              <w:rPr>
                <w:b/>
                <w:sz w:val="18"/>
                <w:szCs w:val="18"/>
              </w:rPr>
            </w:pPr>
            <w:r w:rsidRPr="00C8316B">
              <w:rPr>
                <w:b/>
                <w:bCs/>
                <w:sz w:val="18"/>
                <w:szCs w:val="18"/>
                <w:bdr w:val="nil"/>
                <w:lang w:val="es-ES" w:bidi="es-ES"/>
              </w:rPr>
              <w:t>Clase de cliente</w:t>
            </w:r>
          </w:p>
        </w:tc>
        <w:tc>
          <w:tcPr>
            <w:tcW w:w="1130" w:type="dxa"/>
            <w:tcBorders>
              <w:top w:val="nil"/>
            </w:tcBorders>
            <w:vAlign w:val="bottom"/>
          </w:tcPr>
          <w:p w:rsidR="001618F4" w:rsidRPr="00D7069B" w:rsidRDefault="00E07500" w:rsidP="003A5C88">
            <w:pPr>
              <w:autoSpaceDE w:val="0"/>
              <w:autoSpaceDN w:val="0"/>
              <w:adjustRightInd w:val="0"/>
              <w:jc w:val="center"/>
              <w:rPr>
                <w:b/>
                <w:sz w:val="18"/>
                <w:szCs w:val="18"/>
                <w:lang w:val="es-ES"/>
              </w:rPr>
            </w:pPr>
            <w:r w:rsidRPr="00C8316B">
              <w:rPr>
                <w:b/>
                <w:bCs/>
                <w:sz w:val="18"/>
                <w:szCs w:val="18"/>
                <w:bdr w:val="nil"/>
                <w:lang w:val="es-ES" w:bidi="es-ES"/>
              </w:rPr>
              <w:t xml:space="preserve">Tarifas actuales </w:t>
            </w:r>
            <w:r w:rsidR="00C8316B">
              <w:rPr>
                <w:b/>
                <w:bCs/>
                <w:sz w:val="18"/>
                <w:szCs w:val="18"/>
                <w:bdr w:val="nil"/>
                <w:lang w:val="es-ES" w:bidi="es-ES"/>
              </w:rPr>
              <w:t>en vigor a partir del 11/1/2015</w:t>
            </w:r>
          </w:p>
        </w:tc>
        <w:tc>
          <w:tcPr>
            <w:tcW w:w="1080" w:type="dxa"/>
            <w:tcBorders>
              <w:top w:val="nil"/>
            </w:tcBorders>
          </w:tcPr>
          <w:p w:rsidR="00C8316B" w:rsidRDefault="00E07500" w:rsidP="0089523E">
            <w:pPr>
              <w:autoSpaceDE w:val="0"/>
              <w:autoSpaceDN w:val="0"/>
              <w:adjustRightInd w:val="0"/>
              <w:jc w:val="center"/>
              <w:rPr>
                <w:b/>
                <w:bCs/>
                <w:sz w:val="18"/>
                <w:szCs w:val="18"/>
                <w:bdr w:val="nil"/>
                <w:lang w:val="es-ES" w:bidi="es-ES"/>
              </w:rPr>
            </w:pPr>
            <w:r w:rsidRPr="00C8316B">
              <w:rPr>
                <w:b/>
                <w:bCs/>
                <w:sz w:val="18"/>
                <w:szCs w:val="18"/>
                <w:bdr w:val="nil"/>
                <w:lang w:val="es-ES" w:bidi="es-ES"/>
              </w:rPr>
              <w:t>Tarifas actuales ajustadas para las ventas actualiza</w:t>
            </w:r>
            <w:r w:rsidR="00C8316B">
              <w:rPr>
                <w:b/>
                <w:bCs/>
                <w:sz w:val="18"/>
                <w:szCs w:val="18"/>
                <w:bdr w:val="nil"/>
                <w:lang w:val="es-ES" w:bidi="es-ES"/>
              </w:rPr>
              <w:t>-</w:t>
            </w:r>
            <w:r w:rsidRPr="00C8316B">
              <w:rPr>
                <w:b/>
                <w:bCs/>
                <w:sz w:val="18"/>
                <w:szCs w:val="18"/>
                <w:bdr w:val="nil"/>
                <w:lang w:val="es-ES" w:bidi="es-ES"/>
              </w:rPr>
              <w:t xml:space="preserve">das al </w:t>
            </w:r>
          </w:p>
          <w:p w:rsidR="001618F4" w:rsidRPr="00C8316B" w:rsidRDefault="00E07500" w:rsidP="0089523E">
            <w:pPr>
              <w:autoSpaceDE w:val="0"/>
              <w:autoSpaceDN w:val="0"/>
              <w:adjustRightInd w:val="0"/>
              <w:jc w:val="center"/>
              <w:rPr>
                <w:b/>
                <w:sz w:val="18"/>
                <w:szCs w:val="18"/>
              </w:rPr>
            </w:pPr>
            <w:r w:rsidRPr="00C8316B">
              <w:rPr>
                <w:b/>
                <w:bCs/>
                <w:sz w:val="18"/>
                <w:szCs w:val="18"/>
                <w:bdr w:val="nil"/>
                <w:lang w:val="es-ES" w:bidi="es-ES"/>
              </w:rPr>
              <w:t>Año 1</w:t>
            </w:r>
          </w:p>
        </w:tc>
        <w:tc>
          <w:tcPr>
            <w:tcW w:w="1170" w:type="dxa"/>
            <w:tcBorders>
              <w:top w:val="nil"/>
            </w:tcBorders>
            <w:vAlign w:val="bottom"/>
          </w:tcPr>
          <w:p w:rsidR="00C8316B" w:rsidRDefault="00E07500" w:rsidP="0089523E">
            <w:pPr>
              <w:autoSpaceDE w:val="0"/>
              <w:autoSpaceDN w:val="0"/>
              <w:adjustRightInd w:val="0"/>
              <w:jc w:val="center"/>
              <w:rPr>
                <w:b/>
                <w:bCs/>
                <w:sz w:val="18"/>
                <w:szCs w:val="18"/>
                <w:bdr w:val="nil"/>
                <w:lang w:val="es-ES" w:bidi="es-ES"/>
              </w:rPr>
            </w:pPr>
            <w:r w:rsidRPr="00C8316B">
              <w:rPr>
                <w:b/>
                <w:bCs/>
                <w:sz w:val="18"/>
                <w:szCs w:val="18"/>
                <w:bdr w:val="nil"/>
                <w:lang w:val="es-ES" w:bidi="es-ES"/>
              </w:rPr>
              <w:t xml:space="preserve">Tarifas propuestas para el </w:t>
            </w:r>
          </w:p>
          <w:p w:rsidR="001618F4" w:rsidRPr="00D7069B" w:rsidRDefault="00E07500" w:rsidP="0089523E">
            <w:pPr>
              <w:autoSpaceDE w:val="0"/>
              <w:autoSpaceDN w:val="0"/>
              <w:adjustRightInd w:val="0"/>
              <w:jc w:val="center"/>
              <w:rPr>
                <w:b/>
                <w:sz w:val="18"/>
                <w:szCs w:val="18"/>
                <w:lang w:val="es-ES"/>
              </w:rPr>
            </w:pPr>
            <w:r w:rsidRPr="00C8316B">
              <w:rPr>
                <w:b/>
                <w:bCs/>
                <w:sz w:val="18"/>
                <w:szCs w:val="18"/>
                <w:bdr w:val="nil"/>
                <w:lang w:val="es-ES" w:bidi="es-ES"/>
              </w:rPr>
              <w:t>Año 1</w:t>
            </w:r>
          </w:p>
        </w:tc>
        <w:tc>
          <w:tcPr>
            <w:tcW w:w="810" w:type="dxa"/>
            <w:tcBorders>
              <w:top w:val="nil"/>
            </w:tcBorders>
            <w:vAlign w:val="bottom"/>
          </w:tcPr>
          <w:p w:rsidR="001618F4" w:rsidRPr="00C8316B" w:rsidRDefault="00E07500" w:rsidP="003A5C88">
            <w:pPr>
              <w:autoSpaceDE w:val="0"/>
              <w:autoSpaceDN w:val="0"/>
              <w:adjustRightInd w:val="0"/>
              <w:jc w:val="center"/>
              <w:rPr>
                <w:b/>
                <w:sz w:val="18"/>
                <w:szCs w:val="18"/>
              </w:rPr>
            </w:pPr>
            <w:r w:rsidRPr="00C8316B">
              <w:rPr>
                <w:b/>
                <w:sz w:val="18"/>
                <w:szCs w:val="18"/>
              </w:rPr>
              <w:t>$</w:t>
            </w:r>
          </w:p>
        </w:tc>
        <w:tc>
          <w:tcPr>
            <w:tcW w:w="921" w:type="dxa"/>
            <w:tcBorders>
              <w:top w:val="nil"/>
            </w:tcBorders>
            <w:vAlign w:val="bottom"/>
          </w:tcPr>
          <w:p w:rsidR="001618F4" w:rsidRPr="00C8316B" w:rsidRDefault="00E07500" w:rsidP="003A5C88">
            <w:pPr>
              <w:autoSpaceDE w:val="0"/>
              <w:autoSpaceDN w:val="0"/>
              <w:adjustRightInd w:val="0"/>
              <w:jc w:val="center"/>
              <w:rPr>
                <w:b/>
                <w:sz w:val="18"/>
                <w:szCs w:val="18"/>
              </w:rPr>
            </w:pPr>
            <w:r w:rsidRPr="00C8316B">
              <w:rPr>
                <w:b/>
                <w:sz w:val="18"/>
                <w:szCs w:val="18"/>
              </w:rPr>
              <w:t>%</w:t>
            </w:r>
          </w:p>
        </w:tc>
        <w:tc>
          <w:tcPr>
            <w:tcW w:w="1096" w:type="dxa"/>
            <w:tcBorders>
              <w:top w:val="nil"/>
            </w:tcBorders>
            <w:vAlign w:val="bottom"/>
          </w:tcPr>
          <w:p w:rsidR="001618F4" w:rsidRPr="00D7069B" w:rsidRDefault="00E07500" w:rsidP="0089523E">
            <w:pPr>
              <w:tabs>
                <w:tab w:val="left" w:pos="508"/>
                <w:tab w:val="left" w:pos="818"/>
              </w:tabs>
              <w:autoSpaceDE w:val="0"/>
              <w:autoSpaceDN w:val="0"/>
              <w:adjustRightInd w:val="0"/>
              <w:jc w:val="center"/>
              <w:rPr>
                <w:b/>
                <w:sz w:val="18"/>
                <w:szCs w:val="18"/>
                <w:lang w:val="es-ES"/>
              </w:rPr>
            </w:pPr>
            <w:r w:rsidRPr="00C8316B">
              <w:rPr>
                <w:b/>
                <w:bCs/>
                <w:sz w:val="18"/>
                <w:szCs w:val="18"/>
                <w:bdr w:val="nil"/>
                <w:lang w:val="es-ES" w:bidi="es-ES"/>
              </w:rPr>
              <w:t xml:space="preserve">Tarifas propuestas para el Año 2 </w:t>
            </w:r>
          </w:p>
        </w:tc>
        <w:tc>
          <w:tcPr>
            <w:tcW w:w="864" w:type="dxa"/>
            <w:tcBorders>
              <w:top w:val="nil"/>
            </w:tcBorders>
            <w:vAlign w:val="bottom"/>
          </w:tcPr>
          <w:p w:rsidR="001618F4" w:rsidRPr="00C8316B" w:rsidRDefault="00E07500" w:rsidP="003A5C88">
            <w:pPr>
              <w:autoSpaceDE w:val="0"/>
              <w:autoSpaceDN w:val="0"/>
              <w:adjustRightInd w:val="0"/>
              <w:jc w:val="center"/>
              <w:rPr>
                <w:b/>
                <w:sz w:val="18"/>
                <w:szCs w:val="18"/>
              </w:rPr>
            </w:pPr>
            <w:r w:rsidRPr="00C8316B">
              <w:rPr>
                <w:b/>
                <w:sz w:val="18"/>
                <w:szCs w:val="18"/>
              </w:rPr>
              <w:t>$</w:t>
            </w:r>
          </w:p>
        </w:tc>
        <w:tc>
          <w:tcPr>
            <w:tcW w:w="956" w:type="dxa"/>
            <w:tcBorders>
              <w:top w:val="nil"/>
            </w:tcBorders>
            <w:vAlign w:val="bottom"/>
          </w:tcPr>
          <w:p w:rsidR="001618F4" w:rsidRPr="00C8316B" w:rsidRDefault="00E07500" w:rsidP="003A5C88">
            <w:pPr>
              <w:autoSpaceDE w:val="0"/>
              <w:autoSpaceDN w:val="0"/>
              <w:adjustRightInd w:val="0"/>
              <w:jc w:val="center"/>
              <w:rPr>
                <w:b/>
                <w:sz w:val="18"/>
                <w:szCs w:val="18"/>
              </w:rPr>
            </w:pPr>
            <w:r w:rsidRPr="00C8316B">
              <w:rPr>
                <w:b/>
                <w:sz w:val="18"/>
                <w:szCs w:val="18"/>
              </w:rPr>
              <w:t>%</w:t>
            </w:r>
          </w:p>
        </w:tc>
        <w:tc>
          <w:tcPr>
            <w:tcW w:w="1096" w:type="dxa"/>
            <w:tcBorders>
              <w:top w:val="nil"/>
            </w:tcBorders>
            <w:vAlign w:val="bottom"/>
          </w:tcPr>
          <w:p w:rsidR="001618F4" w:rsidRPr="00D7069B" w:rsidRDefault="00E07500" w:rsidP="0089523E">
            <w:pPr>
              <w:autoSpaceDE w:val="0"/>
              <w:autoSpaceDN w:val="0"/>
              <w:adjustRightInd w:val="0"/>
              <w:jc w:val="center"/>
              <w:rPr>
                <w:b/>
                <w:sz w:val="18"/>
                <w:szCs w:val="18"/>
                <w:lang w:val="es-ES"/>
              </w:rPr>
            </w:pPr>
            <w:r w:rsidRPr="00C8316B">
              <w:rPr>
                <w:b/>
                <w:bCs/>
                <w:sz w:val="18"/>
                <w:szCs w:val="18"/>
                <w:bdr w:val="nil"/>
                <w:lang w:val="es-ES" w:bidi="es-ES"/>
              </w:rPr>
              <w:t>Tarifas propuestas para el Año 3</w:t>
            </w:r>
          </w:p>
        </w:tc>
        <w:tc>
          <w:tcPr>
            <w:tcW w:w="864" w:type="dxa"/>
            <w:tcBorders>
              <w:top w:val="nil"/>
            </w:tcBorders>
            <w:vAlign w:val="bottom"/>
          </w:tcPr>
          <w:p w:rsidR="001618F4" w:rsidRPr="00C8316B" w:rsidRDefault="00E07500" w:rsidP="003A5C88">
            <w:pPr>
              <w:autoSpaceDE w:val="0"/>
              <w:autoSpaceDN w:val="0"/>
              <w:adjustRightInd w:val="0"/>
              <w:jc w:val="center"/>
              <w:rPr>
                <w:b/>
                <w:sz w:val="18"/>
                <w:szCs w:val="18"/>
              </w:rPr>
            </w:pPr>
            <w:r w:rsidRPr="00C8316B">
              <w:rPr>
                <w:b/>
                <w:sz w:val="18"/>
                <w:szCs w:val="18"/>
              </w:rPr>
              <w:t>$</w:t>
            </w:r>
          </w:p>
        </w:tc>
        <w:tc>
          <w:tcPr>
            <w:tcW w:w="956" w:type="dxa"/>
            <w:tcBorders>
              <w:top w:val="nil"/>
            </w:tcBorders>
            <w:vAlign w:val="bottom"/>
          </w:tcPr>
          <w:p w:rsidR="001618F4" w:rsidRPr="00C8316B" w:rsidRDefault="00E07500" w:rsidP="003A5C88">
            <w:pPr>
              <w:autoSpaceDE w:val="0"/>
              <w:autoSpaceDN w:val="0"/>
              <w:adjustRightInd w:val="0"/>
              <w:jc w:val="center"/>
              <w:rPr>
                <w:b/>
                <w:sz w:val="18"/>
                <w:szCs w:val="18"/>
              </w:rPr>
            </w:pPr>
            <w:r w:rsidRPr="00C8316B">
              <w:rPr>
                <w:b/>
                <w:sz w:val="18"/>
                <w:szCs w:val="18"/>
              </w:rPr>
              <w:t>%</w:t>
            </w:r>
          </w:p>
        </w:tc>
      </w:tr>
      <w:tr w:rsidR="002013BC" w:rsidRPr="00C8316B" w:rsidTr="003A5C88">
        <w:trPr>
          <w:trHeight w:val="278"/>
          <w:jc w:val="center"/>
        </w:trPr>
        <w:tc>
          <w:tcPr>
            <w:tcW w:w="1304" w:type="dxa"/>
          </w:tcPr>
          <w:p w:rsidR="001618F4" w:rsidRPr="00C8316B" w:rsidRDefault="00D7069B" w:rsidP="003A5C88">
            <w:pPr>
              <w:autoSpaceDE w:val="0"/>
              <w:autoSpaceDN w:val="0"/>
              <w:adjustRightInd w:val="0"/>
              <w:jc w:val="center"/>
              <w:rPr>
                <w:sz w:val="18"/>
                <w:szCs w:val="18"/>
              </w:rPr>
            </w:pPr>
          </w:p>
        </w:tc>
        <w:tc>
          <w:tcPr>
            <w:tcW w:w="1130" w:type="dxa"/>
          </w:tcPr>
          <w:p w:rsidR="001618F4" w:rsidRPr="00C8316B" w:rsidRDefault="00D7069B" w:rsidP="003A5C88">
            <w:pPr>
              <w:autoSpaceDE w:val="0"/>
              <w:autoSpaceDN w:val="0"/>
              <w:adjustRightInd w:val="0"/>
              <w:jc w:val="both"/>
              <w:rPr>
                <w:sz w:val="18"/>
                <w:szCs w:val="18"/>
              </w:rPr>
            </w:pPr>
          </w:p>
        </w:tc>
        <w:tc>
          <w:tcPr>
            <w:tcW w:w="1080" w:type="dxa"/>
          </w:tcPr>
          <w:p w:rsidR="001618F4" w:rsidRPr="00C8316B" w:rsidRDefault="00D7069B" w:rsidP="003A5C88">
            <w:pPr>
              <w:autoSpaceDE w:val="0"/>
              <w:autoSpaceDN w:val="0"/>
              <w:adjustRightInd w:val="0"/>
              <w:jc w:val="both"/>
              <w:rPr>
                <w:sz w:val="18"/>
                <w:szCs w:val="18"/>
              </w:rPr>
            </w:pPr>
          </w:p>
        </w:tc>
        <w:tc>
          <w:tcPr>
            <w:tcW w:w="1170" w:type="dxa"/>
          </w:tcPr>
          <w:p w:rsidR="001618F4" w:rsidRPr="00C8316B" w:rsidRDefault="00D7069B" w:rsidP="003A5C88">
            <w:pPr>
              <w:autoSpaceDE w:val="0"/>
              <w:autoSpaceDN w:val="0"/>
              <w:adjustRightInd w:val="0"/>
              <w:jc w:val="both"/>
              <w:rPr>
                <w:sz w:val="18"/>
                <w:szCs w:val="18"/>
              </w:rPr>
            </w:pPr>
          </w:p>
        </w:tc>
        <w:tc>
          <w:tcPr>
            <w:tcW w:w="810" w:type="dxa"/>
          </w:tcPr>
          <w:p w:rsidR="001618F4" w:rsidRPr="00C8316B" w:rsidRDefault="00D7069B" w:rsidP="003A5C88">
            <w:pPr>
              <w:autoSpaceDE w:val="0"/>
              <w:autoSpaceDN w:val="0"/>
              <w:adjustRightInd w:val="0"/>
              <w:jc w:val="both"/>
              <w:rPr>
                <w:sz w:val="18"/>
                <w:szCs w:val="18"/>
              </w:rPr>
            </w:pPr>
          </w:p>
        </w:tc>
        <w:tc>
          <w:tcPr>
            <w:tcW w:w="921" w:type="dxa"/>
          </w:tcPr>
          <w:p w:rsidR="001618F4" w:rsidRPr="00C8316B" w:rsidRDefault="00D7069B" w:rsidP="003A5C88">
            <w:pPr>
              <w:autoSpaceDE w:val="0"/>
              <w:autoSpaceDN w:val="0"/>
              <w:adjustRightInd w:val="0"/>
              <w:jc w:val="both"/>
              <w:rPr>
                <w:sz w:val="18"/>
                <w:szCs w:val="18"/>
              </w:rPr>
            </w:pPr>
          </w:p>
        </w:tc>
        <w:tc>
          <w:tcPr>
            <w:tcW w:w="1096" w:type="dxa"/>
          </w:tcPr>
          <w:p w:rsidR="001618F4" w:rsidRPr="00C8316B" w:rsidRDefault="00D7069B" w:rsidP="003A5C88">
            <w:pPr>
              <w:autoSpaceDE w:val="0"/>
              <w:autoSpaceDN w:val="0"/>
              <w:adjustRightInd w:val="0"/>
              <w:jc w:val="both"/>
              <w:rPr>
                <w:sz w:val="18"/>
                <w:szCs w:val="18"/>
              </w:rPr>
            </w:pPr>
          </w:p>
        </w:tc>
        <w:tc>
          <w:tcPr>
            <w:tcW w:w="864" w:type="dxa"/>
          </w:tcPr>
          <w:p w:rsidR="001618F4" w:rsidRPr="00C8316B" w:rsidRDefault="00D7069B" w:rsidP="003A5C88">
            <w:pPr>
              <w:autoSpaceDE w:val="0"/>
              <w:autoSpaceDN w:val="0"/>
              <w:adjustRightInd w:val="0"/>
              <w:jc w:val="both"/>
              <w:rPr>
                <w:sz w:val="18"/>
                <w:szCs w:val="18"/>
              </w:rPr>
            </w:pPr>
          </w:p>
        </w:tc>
        <w:tc>
          <w:tcPr>
            <w:tcW w:w="956" w:type="dxa"/>
          </w:tcPr>
          <w:p w:rsidR="001618F4" w:rsidRPr="00C8316B" w:rsidRDefault="00D7069B" w:rsidP="003A5C88">
            <w:pPr>
              <w:autoSpaceDE w:val="0"/>
              <w:autoSpaceDN w:val="0"/>
              <w:adjustRightInd w:val="0"/>
              <w:jc w:val="both"/>
              <w:rPr>
                <w:sz w:val="18"/>
                <w:szCs w:val="18"/>
              </w:rPr>
            </w:pPr>
          </w:p>
        </w:tc>
        <w:tc>
          <w:tcPr>
            <w:tcW w:w="1096" w:type="dxa"/>
          </w:tcPr>
          <w:p w:rsidR="001618F4" w:rsidRPr="00C8316B" w:rsidRDefault="00D7069B" w:rsidP="003A5C88">
            <w:pPr>
              <w:autoSpaceDE w:val="0"/>
              <w:autoSpaceDN w:val="0"/>
              <w:adjustRightInd w:val="0"/>
              <w:jc w:val="both"/>
              <w:rPr>
                <w:sz w:val="18"/>
                <w:szCs w:val="18"/>
              </w:rPr>
            </w:pPr>
          </w:p>
        </w:tc>
        <w:tc>
          <w:tcPr>
            <w:tcW w:w="864" w:type="dxa"/>
          </w:tcPr>
          <w:p w:rsidR="001618F4" w:rsidRPr="00C8316B" w:rsidRDefault="00D7069B" w:rsidP="003A5C88">
            <w:pPr>
              <w:autoSpaceDE w:val="0"/>
              <w:autoSpaceDN w:val="0"/>
              <w:adjustRightInd w:val="0"/>
              <w:jc w:val="both"/>
              <w:rPr>
                <w:sz w:val="18"/>
                <w:szCs w:val="18"/>
              </w:rPr>
            </w:pPr>
          </w:p>
        </w:tc>
        <w:tc>
          <w:tcPr>
            <w:tcW w:w="956" w:type="dxa"/>
          </w:tcPr>
          <w:p w:rsidR="001618F4" w:rsidRPr="00C8316B" w:rsidRDefault="00D7069B" w:rsidP="003A5C88">
            <w:pPr>
              <w:autoSpaceDE w:val="0"/>
              <w:autoSpaceDN w:val="0"/>
              <w:adjustRightInd w:val="0"/>
              <w:jc w:val="both"/>
              <w:rPr>
                <w:sz w:val="18"/>
                <w:szCs w:val="18"/>
              </w:rPr>
            </w:pPr>
          </w:p>
        </w:tc>
      </w:tr>
      <w:tr w:rsidR="002013BC" w:rsidRPr="00C8316B" w:rsidTr="003A5C88">
        <w:trPr>
          <w:trHeight w:val="247"/>
          <w:jc w:val="center"/>
        </w:trPr>
        <w:tc>
          <w:tcPr>
            <w:tcW w:w="1304" w:type="dxa"/>
            <w:vAlign w:val="center"/>
          </w:tcPr>
          <w:p w:rsidR="001618F4" w:rsidRPr="00C8316B" w:rsidRDefault="00E07500" w:rsidP="003A5C88">
            <w:pPr>
              <w:autoSpaceDE w:val="0"/>
              <w:autoSpaceDN w:val="0"/>
              <w:adjustRightInd w:val="0"/>
              <w:jc w:val="center"/>
              <w:rPr>
                <w:sz w:val="18"/>
                <w:szCs w:val="18"/>
              </w:rPr>
            </w:pPr>
            <w:r w:rsidRPr="00C8316B">
              <w:rPr>
                <w:sz w:val="18"/>
                <w:szCs w:val="18"/>
                <w:bdr w:val="nil"/>
                <w:lang w:val="es-ES" w:bidi="es-ES"/>
              </w:rPr>
              <w:t>Residencial</w:t>
            </w:r>
          </w:p>
        </w:tc>
        <w:tc>
          <w:tcPr>
            <w:tcW w:w="1130" w:type="dxa"/>
            <w:vAlign w:val="center"/>
          </w:tcPr>
          <w:p w:rsidR="001618F4" w:rsidRPr="00C8316B" w:rsidRDefault="00E07500" w:rsidP="003A5C88">
            <w:pPr>
              <w:autoSpaceDE w:val="0"/>
              <w:autoSpaceDN w:val="0"/>
              <w:adjustRightInd w:val="0"/>
              <w:jc w:val="center"/>
              <w:rPr>
                <w:sz w:val="18"/>
                <w:szCs w:val="18"/>
              </w:rPr>
            </w:pPr>
            <w:r w:rsidRPr="00C8316B">
              <w:rPr>
                <w:bCs/>
                <w:sz w:val="18"/>
                <w:szCs w:val="18"/>
                <w:bdr w:val="nil"/>
                <w:lang w:val="es-ES" w:bidi="es-ES"/>
              </w:rPr>
              <w:t>22.651</w:t>
            </w:r>
          </w:p>
        </w:tc>
        <w:tc>
          <w:tcPr>
            <w:tcW w:w="1080" w:type="dxa"/>
            <w:vAlign w:val="center"/>
          </w:tcPr>
          <w:p w:rsidR="001618F4" w:rsidRPr="00C8316B" w:rsidRDefault="00E07500" w:rsidP="003A5C88">
            <w:pPr>
              <w:autoSpaceDE w:val="0"/>
              <w:autoSpaceDN w:val="0"/>
              <w:adjustRightInd w:val="0"/>
              <w:jc w:val="center"/>
              <w:rPr>
                <w:sz w:val="18"/>
                <w:szCs w:val="18"/>
              </w:rPr>
            </w:pPr>
            <w:r w:rsidRPr="00C8316B">
              <w:rPr>
                <w:bCs/>
                <w:sz w:val="18"/>
                <w:szCs w:val="18"/>
                <w:bdr w:val="nil"/>
                <w:lang w:val="es-ES" w:bidi="es-ES"/>
              </w:rPr>
              <w:t>22.982</w:t>
            </w:r>
          </w:p>
        </w:tc>
        <w:tc>
          <w:tcPr>
            <w:tcW w:w="1170"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24.398</w:t>
            </w:r>
          </w:p>
        </w:tc>
        <w:tc>
          <w:tcPr>
            <w:tcW w:w="810"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1.416</w:t>
            </w:r>
          </w:p>
        </w:tc>
        <w:tc>
          <w:tcPr>
            <w:tcW w:w="921"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6.16%</w:t>
            </w:r>
          </w:p>
        </w:tc>
        <w:tc>
          <w:tcPr>
            <w:tcW w:w="1096" w:type="dxa"/>
            <w:vAlign w:val="center"/>
          </w:tcPr>
          <w:p w:rsidR="001618F4" w:rsidRPr="00C8316B" w:rsidRDefault="00E07500" w:rsidP="003A5C88">
            <w:pPr>
              <w:autoSpaceDE w:val="0"/>
              <w:autoSpaceDN w:val="0"/>
              <w:adjustRightInd w:val="0"/>
              <w:jc w:val="center"/>
              <w:rPr>
                <w:sz w:val="18"/>
                <w:szCs w:val="18"/>
              </w:rPr>
            </w:pPr>
            <w:r w:rsidRPr="00C8316B">
              <w:rPr>
                <w:sz w:val="18"/>
                <w:szCs w:val="18"/>
                <w:bdr w:val="nil"/>
                <w:lang w:val="es-ES" w:bidi="es-ES"/>
              </w:rPr>
              <w:t>25.055</w:t>
            </w:r>
          </w:p>
        </w:tc>
        <w:tc>
          <w:tcPr>
            <w:tcW w:w="864"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2.073</w:t>
            </w:r>
          </w:p>
        </w:tc>
        <w:tc>
          <w:tcPr>
            <w:tcW w:w="95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9.02%</w:t>
            </w:r>
          </w:p>
        </w:tc>
        <w:tc>
          <w:tcPr>
            <w:tcW w:w="109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25.712</w:t>
            </w:r>
          </w:p>
        </w:tc>
        <w:tc>
          <w:tcPr>
            <w:tcW w:w="864"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2.730</w:t>
            </w:r>
          </w:p>
        </w:tc>
        <w:tc>
          <w:tcPr>
            <w:tcW w:w="95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11.88%</w:t>
            </w:r>
          </w:p>
        </w:tc>
      </w:tr>
      <w:tr w:rsidR="002013BC" w:rsidRPr="00C8316B" w:rsidTr="003A5C88">
        <w:trPr>
          <w:trHeight w:val="263"/>
          <w:jc w:val="center"/>
        </w:trPr>
        <w:tc>
          <w:tcPr>
            <w:tcW w:w="1304" w:type="dxa"/>
            <w:vAlign w:val="center"/>
          </w:tcPr>
          <w:p w:rsidR="001618F4" w:rsidRPr="00C8316B" w:rsidRDefault="00E07500" w:rsidP="003A5C88">
            <w:pPr>
              <w:autoSpaceDE w:val="0"/>
              <w:autoSpaceDN w:val="0"/>
              <w:adjustRightInd w:val="0"/>
              <w:jc w:val="center"/>
              <w:rPr>
                <w:sz w:val="18"/>
                <w:szCs w:val="18"/>
              </w:rPr>
            </w:pPr>
            <w:r w:rsidRPr="00C8316B">
              <w:rPr>
                <w:sz w:val="18"/>
                <w:szCs w:val="18"/>
                <w:bdr w:val="nil"/>
                <w:lang w:val="es-ES" w:bidi="es-ES"/>
              </w:rPr>
              <w:t>Comercial pequeño</w:t>
            </w:r>
          </w:p>
        </w:tc>
        <w:tc>
          <w:tcPr>
            <w:tcW w:w="1130" w:type="dxa"/>
            <w:vAlign w:val="center"/>
          </w:tcPr>
          <w:p w:rsidR="001618F4" w:rsidRPr="00C8316B" w:rsidRDefault="00E07500" w:rsidP="003A5C88">
            <w:pPr>
              <w:autoSpaceDE w:val="0"/>
              <w:autoSpaceDN w:val="0"/>
              <w:adjustRightInd w:val="0"/>
              <w:jc w:val="center"/>
              <w:rPr>
                <w:sz w:val="18"/>
                <w:szCs w:val="18"/>
              </w:rPr>
            </w:pPr>
            <w:r w:rsidRPr="00C8316B">
              <w:rPr>
                <w:bCs/>
                <w:sz w:val="18"/>
                <w:szCs w:val="18"/>
                <w:bdr w:val="nil"/>
                <w:lang w:val="es-ES" w:bidi="es-ES"/>
              </w:rPr>
              <w:t>24.653</w:t>
            </w:r>
          </w:p>
        </w:tc>
        <w:tc>
          <w:tcPr>
            <w:tcW w:w="1080" w:type="dxa"/>
            <w:vAlign w:val="center"/>
          </w:tcPr>
          <w:p w:rsidR="001618F4" w:rsidRPr="00C8316B" w:rsidRDefault="00E07500" w:rsidP="003A5C88">
            <w:pPr>
              <w:autoSpaceDE w:val="0"/>
              <w:autoSpaceDN w:val="0"/>
              <w:adjustRightInd w:val="0"/>
              <w:jc w:val="center"/>
              <w:rPr>
                <w:sz w:val="18"/>
                <w:szCs w:val="18"/>
              </w:rPr>
            </w:pPr>
            <w:r w:rsidRPr="00C8316B">
              <w:rPr>
                <w:bCs/>
                <w:sz w:val="18"/>
                <w:szCs w:val="18"/>
                <w:bdr w:val="nil"/>
                <w:lang w:val="es-ES" w:bidi="es-ES"/>
              </w:rPr>
              <w:t>23.804</w:t>
            </w:r>
          </w:p>
        </w:tc>
        <w:tc>
          <w:tcPr>
            <w:tcW w:w="1170"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24.600</w:t>
            </w:r>
          </w:p>
        </w:tc>
        <w:tc>
          <w:tcPr>
            <w:tcW w:w="810"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0.796</w:t>
            </w:r>
          </w:p>
        </w:tc>
        <w:tc>
          <w:tcPr>
            <w:tcW w:w="921"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3.34%</w:t>
            </w:r>
          </w:p>
        </w:tc>
        <w:tc>
          <w:tcPr>
            <w:tcW w:w="109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25.143</w:t>
            </w:r>
          </w:p>
        </w:tc>
        <w:tc>
          <w:tcPr>
            <w:tcW w:w="864"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1.339</w:t>
            </w:r>
          </w:p>
        </w:tc>
        <w:tc>
          <w:tcPr>
            <w:tcW w:w="95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5.63%</w:t>
            </w:r>
          </w:p>
        </w:tc>
        <w:tc>
          <w:tcPr>
            <w:tcW w:w="109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25.686</w:t>
            </w:r>
          </w:p>
        </w:tc>
        <w:tc>
          <w:tcPr>
            <w:tcW w:w="864"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1.882</w:t>
            </w:r>
          </w:p>
        </w:tc>
        <w:tc>
          <w:tcPr>
            <w:tcW w:w="95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7.91%</w:t>
            </w:r>
          </w:p>
        </w:tc>
      </w:tr>
      <w:tr w:rsidR="002013BC" w:rsidRPr="00C8316B" w:rsidTr="003A5C88">
        <w:trPr>
          <w:trHeight w:val="508"/>
          <w:jc w:val="center"/>
        </w:trPr>
        <w:tc>
          <w:tcPr>
            <w:tcW w:w="1304" w:type="dxa"/>
            <w:vAlign w:val="center"/>
          </w:tcPr>
          <w:p w:rsidR="001618F4" w:rsidRPr="00D7069B" w:rsidRDefault="00E07500" w:rsidP="003A5C88">
            <w:pPr>
              <w:autoSpaceDE w:val="0"/>
              <w:autoSpaceDN w:val="0"/>
              <w:adjustRightInd w:val="0"/>
              <w:jc w:val="center"/>
              <w:rPr>
                <w:sz w:val="18"/>
                <w:szCs w:val="18"/>
                <w:lang w:val="es-ES"/>
              </w:rPr>
            </w:pPr>
            <w:r w:rsidRPr="00C8316B">
              <w:rPr>
                <w:sz w:val="18"/>
                <w:szCs w:val="18"/>
                <w:bdr w:val="nil"/>
                <w:lang w:val="es-ES" w:bidi="es-ES"/>
              </w:rPr>
              <w:t>Comercial e industrial mediano y grande</w:t>
            </w:r>
          </w:p>
        </w:tc>
        <w:tc>
          <w:tcPr>
            <w:tcW w:w="1130" w:type="dxa"/>
            <w:vAlign w:val="center"/>
          </w:tcPr>
          <w:p w:rsidR="001618F4" w:rsidRPr="00C8316B" w:rsidRDefault="00E07500" w:rsidP="003A5C88">
            <w:pPr>
              <w:autoSpaceDE w:val="0"/>
              <w:autoSpaceDN w:val="0"/>
              <w:adjustRightInd w:val="0"/>
              <w:jc w:val="center"/>
              <w:rPr>
                <w:sz w:val="18"/>
                <w:szCs w:val="18"/>
              </w:rPr>
            </w:pPr>
            <w:r w:rsidRPr="00C8316B">
              <w:rPr>
                <w:bCs/>
                <w:sz w:val="18"/>
                <w:szCs w:val="18"/>
                <w:bdr w:val="nil"/>
                <w:lang w:val="es-ES" w:bidi="es-ES"/>
              </w:rPr>
              <w:t>19.529</w:t>
            </w:r>
          </w:p>
        </w:tc>
        <w:tc>
          <w:tcPr>
            <w:tcW w:w="1080" w:type="dxa"/>
            <w:vAlign w:val="center"/>
          </w:tcPr>
          <w:p w:rsidR="001618F4" w:rsidRPr="00C8316B" w:rsidRDefault="00E07500" w:rsidP="003A5C88">
            <w:pPr>
              <w:autoSpaceDE w:val="0"/>
              <w:autoSpaceDN w:val="0"/>
              <w:adjustRightInd w:val="0"/>
              <w:jc w:val="center"/>
              <w:rPr>
                <w:sz w:val="18"/>
                <w:szCs w:val="18"/>
              </w:rPr>
            </w:pPr>
            <w:r w:rsidRPr="00C8316B">
              <w:rPr>
                <w:bCs/>
                <w:sz w:val="18"/>
                <w:szCs w:val="18"/>
                <w:bdr w:val="nil"/>
                <w:lang w:val="es-ES" w:bidi="es-ES"/>
              </w:rPr>
              <w:t>20.209</w:t>
            </w:r>
          </w:p>
        </w:tc>
        <w:tc>
          <w:tcPr>
            <w:tcW w:w="1170"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20.813</w:t>
            </w:r>
          </w:p>
        </w:tc>
        <w:tc>
          <w:tcPr>
            <w:tcW w:w="810"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0.604</w:t>
            </w:r>
          </w:p>
        </w:tc>
        <w:tc>
          <w:tcPr>
            <w:tcW w:w="921"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2.99%</w:t>
            </w:r>
          </w:p>
        </w:tc>
        <w:tc>
          <w:tcPr>
            <w:tcW w:w="109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20.086</w:t>
            </w:r>
          </w:p>
        </w:tc>
        <w:tc>
          <w:tcPr>
            <w:tcW w:w="864"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-0.123</w:t>
            </w:r>
          </w:p>
        </w:tc>
        <w:tc>
          <w:tcPr>
            <w:tcW w:w="95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-0.61%</w:t>
            </w:r>
          </w:p>
        </w:tc>
        <w:tc>
          <w:tcPr>
            <w:tcW w:w="109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19.358</w:t>
            </w:r>
          </w:p>
        </w:tc>
        <w:tc>
          <w:tcPr>
            <w:tcW w:w="864"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-0.851</w:t>
            </w:r>
          </w:p>
        </w:tc>
        <w:tc>
          <w:tcPr>
            <w:tcW w:w="95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-4.21%</w:t>
            </w:r>
          </w:p>
        </w:tc>
      </w:tr>
      <w:tr w:rsidR="002013BC" w:rsidRPr="00C8316B" w:rsidTr="003A5C88">
        <w:trPr>
          <w:trHeight w:val="263"/>
          <w:jc w:val="center"/>
        </w:trPr>
        <w:tc>
          <w:tcPr>
            <w:tcW w:w="1304" w:type="dxa"/>
            <w:vAlign w:val="center"/>
          </w:tcPr>
          <w:p w:rsidR="001618F4" w:rsidRPr="00C8316B" w:rsidRDefault="00E07500" w:rsidP="003A5C88">
            <w:pPr>
              <w:autoSpaceDE w:val="0"/>
              <w:autoSpaceDN w:val="0"/>
              <w:adjustRightInd w:val="0"/>
              <w:jc w:val="center"/>
              <w:rPr>
                <w:sz w:val="18"/>
                <w:szCs w:val="18"/>
              </w:rPr>
            </w:pPr>
            <w:r w:rsidRPr="00C8316B">
              <w:rPr>
                <w:sz w:val="18"/>
                <w:szCs w:val="18"/>
                <w:bdr w:val="nil"/>
                <w:lang w:val="es-ES" w:bidi="es-ES"/>
              </w:rPr>
              <w:t>Agrícola</w:t>
            </w:r>
          </w:p>
        </w:tc>
        <w:tc>
          <w:tcPr>
            <w:tcW w:w="1130" w:type="dxa"/>
            <w:vAlign w:val="center"/>
          </w:tcPr>
          <w:p w:rsidR="001618F4" w:rsidRPr="00C8316B" w:rsidRDefault="00E07500" w:rsidP="003A5C88">
            <w:pPr>
              <w:autoSpaceDE w:val="0"/>
              <w:autoSpaceDN w:val="0"/>
              <w:adjustRightInd w:val="0"/>
              <w:jc w:val="center"/>
              <w:rPr>
                <w:sz w:val="18"/>
                <w:szCs w:val="18"/>
              </w:rPr>
            </w:pPr>
            <w:r w:rsidRPr="00C8316B">
              <w:rPr>
                <w:bCs/>
                <w:sz w:val="18"/>
                <w:szCs w:val="18"/>
                <w:bdr w:val="nil"/>
                <w:lang w:val="es-ES" w:bidi="es-ES"/>
              </w:rPr>
              <w:t>17.642</w:t>
            </w:r>
          </w:p>
        </w:tc>
        <w:tc>
          <w:tcPr>
            <w:tcW w:w="1080" w:type="dxa"/>
            <w:vAlign w:val="center"/>
          </w:tcPr>
          <w:p w:rsidR="001618F4" w:rsidRPr="00C8316B" w:rsidRDefault="00E07500" w:rsidP="003A5C88">
            <w:pPr>
              <w:autoSpaceDE w:val="0"/>
              <w:autoSpaceDN w:val="0"/>
              <w:adjustRightInd w:val="0"/>
              <w:jc w:val="center"/>
              <w:rPr>
                <w:sz w:val="18"/>
                <w:szCs w:val="18"/>
              </w:rPr>
            </w:pPr>
            <w:r w:rsidRPr="00C8316B">
              <w:rPr>
                <w:bCs/>
                <w:sz w:val="18"/>
                <w:szCs w:val="18"/>
                <w:bdr w:val="nil"/>
                <w:lang w:val="es-ES" w:bidi="es-ES"/>
              </w:rPr>
              <w:t>17.929</w:t>
            </w:r>
          </w:p>
        </w:tc>
        <w:tc>
          <w:tcPr>
            <w:tcW w:w="1170"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17.553</w:t>
            </w:r>
          </w:p>
        </w:tc>
        <w:tc>
          <w:tcPr>
            <w:tcW w:w="810"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-0.376</w:t>
            </w:r>
          </w:p>
        </w:tc>
        <w:tc>
          <w:tcPr>
            <w:tcW w:w="921"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-2.10%</w:t>
            </w:r>
          </w:p>
        </w:tc>
        <w:tc>
          <w:tcPr>
            <w:tcW w:w="109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17.370</w:t>
            </w:r>
          </w:p>
        </w:tc>
        <w:tc>
          <w:tcPr>
            <w:tcW w:w="864" w:type="dxa"/>
            <w:vAlign w:val="center"/>
          </w:tcPr>
          <w:p w:rsidR="001618F4" w:rsidRPr="00C8316B" w:rsidRDefault="00E07500" w:rsidP="003A5C88">
            <w:pPr>
              <w:autoSpaceDE w:val="0"/>
              <w:autoSpaceDN w:val="0"/>
              <w:adjustRightInd w:val="0"/>
              <w:jc w:val="center"/>
              <w:rPr>
                <w:sz w:val="18"/>
                <w:szCs w:val="18"/>
              </w:rPr>
            </w:pPr>
            <w:r w:rsidRPr="00C8316B">
              <w:rPr>
                <w:sz w:val="18"/>
                <w:szCs w:val="18"/>
                <w:bdr w:val="nil"/>
                <w:lang w:val="es-ES" w:bidi="es-ES"/>
              </w:rPr>
              <w:t>-0.559</w:t>
            </w:r>
          </w:p>
        </w:tc>
        <w:tc>
          <w:tcPr>
            <w:tcW w:w="95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-3.12%</w:t>
            </w:r>
          </w:p>
        </w:tc>
        <w:tc>
          <w:tcPr>
            <w:tcW w:w="109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17.188</w:t>
            </w:r>
          </w:p>
        </w:tc>
        <w:tc>
          <w:tcPr>
            <w:tcW w:w="864"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-0.748</w:t>
            </w:r>
          </w:p>
        </w:tc>
        <w:tc>
          <w:tcPr>
            <w:tcW w:w="956"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-4.17%</w:t>
            </w:r>
          </w:p>
        </w:tc>
      </w:tr>
      <w:tr w:rsidR="002013BC" w:rsidRPr="00C8316B" w:rsidTr="003A5C88">
        <w:trPr>
          <w:trHeight w:val="263"/>
          <w:jc w:val="center"/>
        </w:trPr>
        <w:tc>
          <w:tcPr>
            <w:tcW w:w="1304" w:type="dxa"/>
            <w:vAlign w:val="center"/>
          </w:tcPr>
          <w:p w:rsidR="001618F4" w:rsidRPr="00C8316B" w:rsidRDefault="00E07500" w:rsidP="003A5C88">
            <w:pPr>
              <w:autoSpaceDE w:val="0"/>
              <w:autoSpaceDN w:val="0"/>
              <w:adjustRightInd w:val="0"/>
              <w:jc w:val="center"/>
              <w:rPr>
                <w:sz w:val="18"/>
                <w:szCs w:val="18"/>
              </w:rPr>
            </w:pPr>
            <w:r w:rsidRPr="00C8316B">
              <w:rPr>
                <w:sz w:val="18"/>
                <w:szCs w:val="18"/>
                <w:bdr w:val="nil"/>
                <w:lang w:val="es-ES" w:bidi="es-ES"/>
              </w:rPr>
              <w:t>Iluminación</w:t>
            </w:r>
          </w:p>
        </w:tc>
        <w:tc>
          <w:tcPr>
            <w:tcW w:w="1130" w:type="dxa"/>
            <w:vAlign w:val="center"/>
          </w:tcPr>
          <w:p w:rsidR="001618F4" w:rsidRPr="00C8316B" w:rsidRDefault="00E07500" w:rsidP="003A5C88">
            <w:pPr>
              <w:autoSpaceDE w:val="0"/>
              <w:autoSpaceDN w:val="0"/>
              <w:adjustRightInd w:val="0"/>
              <w:jc w:val="center"/>
              <w:rPr>
                <w:bCs/>
                <w:sz w:val="18"/>
                <w:szCs w:val="18"/>
              </w:rPr>
            </w:pPr>
            <w:r w:rsidRPr="00C8316B">
              <w:rPr>
                <w:bCs/>
                <w:sz w:val="18"/>
                <w:szCs w:val="18"/>
                <w:bdr w:val="nil"/>
                <w:lang w:val="es-ES" w:bidi="es-ES"/>
              </w:rPr>
              <w:t>18.062</w:t>
            </w:r>
          </w:p>
        </w:tc>
        <w:tc>
          <w:tcPr>
            <w:tcW w:w="1080" w:type="dxa"/>
            <w:vAlign w:val="center"/>
          </w:tcPr>
          <w:p w:rsidR="001618F4" w:rsidRPr="00C8316B" w:rsidRDefault="00E07500" w:rsidP="003A5C88">
            <w:pPr>
              <w:autoSpaceDE w:val="0"/>
              <w:autoSpaceDN w:val="0"/>
              <w:adjustRightInd w:val="0"/>
              <w:jc w:val="center"/>
              <w:rPr>
                <w:bCs/>
                <w:sz w:val="18"/>
                <w:szCs w:val="18"/>
              </w:rPr>
            </w:pPr>
            <w:r w:rsidRPr="00C8316B">
              <w:rPr>
                <w:bCs/>
                <w:sz w:val="18"/>
                <w:szCs w:val="18"/>
                <w:bdr w:val="nil"/>
                <w:lang w:val="es-ES" w:bidi="es-ES"/>
              </w:rPr>
              <w:t>19.727</w:t>
            </w:r>
          </w:p>
        </w:tc>
        <w:tc>
          <w:tcPr>
            <w:tcW w:w="1170"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22.013</w:t>
            </w:r>
          </w:p>
        </w:tc>
        <w:tc>
          <w:tcPr>
            <w:tcW w:w="810"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2.286</w:t>
            </w:r>
          </w:p>
        </w:tc>
        <w:tc>
          <w:tcPr>
            <w:tcW w:w="921"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11.59%</w:t>
            </w:r>
          </w:p>
        </w:tc>
        <w:tc>
          <w:tcPr>
            <w:tcW w:w="1096"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22.211</w:t>
            </w:r>
          </w:p>
        </w:tc>
        <w:tc>
          <w:tcPr>
            <w:tcW w:w="864"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2.484</w:t>
            </w:r>
          </w:p>
        </w:tc>
        <w:tc>
          <w:tcPr>
            <w:tcW w:w="956"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12.59%</w:t>
            </w:r>
          </w:p>
        </w:tc>
        <w:tc>
          <w:tcPr>
            <w:tcW w:w="1096"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22.408</w:t>
            </w:r>
          </w:p>
        </w:tc>
        <w:tc>
          <w:tcPr>
            <w:tcW w:w="864"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2.681</w:t>
            </w:r>
          </w:p>
        </w:tc>
        <w:tc>
          <w:tcPr>
            <w:tcW w:w="956"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13.59%</w:t>
            </w:r>
          </w:p>
        </w:tc>
      </w:tr>
      <w:tr w:rsidR="002013BC" w:rsidRPr="00C8316B" w:rsidTr="003A5C88">
        <w:trPr>
          <w:trHeight w:val="263"/>
          <w:jc w:val="center"/>
        </w:trPr>
        <w:tc>
          <w:tcPr>
            <w:tcW w:w="1304" w:type="dxa"/>
            <w:vAlign w:val="center"/>
          </w:tcPr>
          <w:p w:rsidR="001618F4" w:rsidRPr="00C8316B" w:rsidRDefault="00C8316B" w:rsidP="003A5C88">
            <w:pPr>
              <w:autoSpaceDE w:val="0"/>
              <w:autoSpaceDN w:val="0"/>
              <w:adjustRightInd w:val="0"/>
              <w:jc w:val="center"/>
              <w:rPr>
                <w:sz w:val="18"/>
                <w:szCs w:val="18"/>
              </w:rPr>
            </w:pPr>
            <w:r>
              <w:rPr>
                <w:sz w:val="18"/>
                <w:szCs w:val="18"/>
                <w:bdr w:val="nil"/>
                <w:lang w:val="es-ES" w:bidi="es-ES"/>
              </w:rPr>
              <w:t>Total del sistema</w:t>
            </w:r>
          </w:p>
        </w:tc>
        <w:tc>
          <w:tcPr>
            <w:tcW w:w="1130" w:type="dxa"/>
            <w:vAlign w:val="center"/>
          </w:tcPr>
          <w:p w:rsidR="001618F4" w:rsidRPr="00C8316B" w:rsidRDefault="00E07500" w:rsidP="003A5C88">
            <w:pPr>
              <w:autoSpaceDE w:val="0"/>
              <w:autoSpaceDN w:val="0"/>
              <w:adjustRightInd w:val="0"/>
              <w:jc w:val="center"/>
              <w:rPr>
                <w:bCs/>
                <w:sz w:val="18"/>
                <w:szCs w:val="18"/>
              </w:rPr>
            </w:pPr>
            <w:r w:rsidRPr="00C8316B">
              <w:rPr>
                <w:bCs/>
                <w:sz w:val="18"/>
                <w:szCs w:val="18"/>
                <w:bdr w:val="nil"/>
                <w:lang w:val="es-ES" w:bidi="es-ES"/>
              </w:rPr>
              <w:t>21.154</w:t>
            </w:r>
          </w:p>
        </w:tc>
        <w:tc>
          <w:tcPr>
            <w:tcW w:w="1080" w:type="dxa"/>
            <w:vAlign w:val="center"/>
          </w:tcPr>
          <w:p w:rsidR="001618F4" w:rsidRPr="00C8316B" w:rsidRDefault="00E07500" w:rsidP="003A5C88">
            <w:pPr>
              <w:autoSpaceDE w:val="0"/>
              <w:autoSpaceDN w:val="0"/>
              <w:adjustRightInd w:val="0"/>
              <w:jc w:val="center"/>
              <w:rPr>
                <w:bCs/>
                <w:sz w:val="18"/>
                <w:szCs w:val="18"/>
              </w:rPr>
            </w:pPr>
            <w:r w:rsidRPr="00C8316B">
              <w:rPr>
                <w:bCs/>
                <w:sz w:val="18"/>
                <w:szCs w:val="18"/>
                <w:bdr w:val="nil"/>
                <w:lang w:val="es-ES" w:bidi="es-ES"/>
              </w:rPr>
              <w:t>21.552</w:t>
            </w:r>
          </w:p>
        </w:tc>
        <w:tc>
          <w:tcPr>
            <w:tcW w:w="1170"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22.461</w:t>
            </w:r>
          </w:p>
        </w:tc>
        <w:tc>
          <w:tcPr>
            <w:tcW w:w="810"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0.909</w:t>
            </w:r>
          </w:p>
        </w:tc>
        <w:tc>
          <w:tcPr>
            <w:tcW w:w="921"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4.22%</w:t>
            </w:r>
          </w:p>
        </w:tc>
        <w:tc>
          <w:tcPr>
            <w:tcW w:w="1096"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22.463</w:t>
            </w:r>
          </w:p>
        </w:tc>
        <w:tc>
          <w:tcPr>
            <w:tcW w:w="864" w:type="dxa"/>
            <w:vAlign w:val="center"/>
          </w:tcPr>
          <w:p w:rsidR="001618F4" w:rsidRPr="00C8316B" w:rsidRDefault="00E07500" w:rsidP="003A5C88">
            <w:pPr>
              <w:autoSpaceDE w:val="0"/>
              <w:autoSpaceDN w:val="0"/>
              <w:adjustRightInd w:val="0"/>
              <w:jc w:val="center"/>
              <w:rPr>
                <w:sz w:val="18"/>
                <w:szCs w:val="18"/>
              </w:rPr>
            </w:pPr>
            <w:r w:rsidRPr="00C8316B">
              <w:rPr>
                <w:color w:val="000000"/>
                <w:sz w:val="18"/>
                <w:szCs w:val="18"/>
                <w:bdr w:val="nil"/>
                <w:lang w:val="es-ES" w:bidi="es-ES"/>
              </w:rPr>
              <w:t>0.911</w:t>
            </w:r>
          </w:p>
        </w:tc>
        <w:tc>
          <w:tcPr>
            <w:tcW w:w="956"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4.23%</w:t>
            </w:r>
          </w:p>
        </w:tc>
        <w:tc>
          <w:tcPr>
            <w:tcW w:w="1096"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22.464</w:t>
            </w:r>
          </w:p>
        </w:tc>
        <w:tc>
          <w:tcPr>
            <w:tcW w:w="864"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0.912</w:t>
            </w:r>
          </w:p>
        </w:tc>
        <w:tc>
          <w:tcPr>
            <w:tcW w:w="956" w:type="dxa"/>
            <w:vAlign w:val="center"/>
          </w:tcPr>
          <w:p w:rsidR="001618F4" w:rsidRPr="00C8316B" w:rsidRDefault="00E07500" w:rsidP="003A5C88">
            <w:pPr>
              <w:autoSpaceDE w:val="0"/>
              <w:autoSpaceDN w:val="0"/>
              <w:adjustRightInd w:val="0"/>
              <w:jc w:val="center"/>
              <w:rPr>
                <w:color w:val="000000"/>
                <w:sz w:val="18"/>
                <w:szCs w:val="18"/>
              </w:rPr>
            </w:pPr>
            <w:r w:rsidRPr="00C8316B">
              <w:rPr>
                <w:color w:val="000000"/>
                <w:sz w:val="18"/>
                <w:szCs w:val="18"/>
                <w:bdr w:val="nil"/>
                <w:lang w:val="es-ES" w:bidi="es-ES"/>
              </w:rPr>
              <w:t>4.23%</w:t>
            </w:r>
          </w:p>
        </w:tc>
      </w:tr>
    </w:tbl>
    <w:p w:rsidR="00C56109" w:rsidRDefault="00D7069B" w:rsidP="00C56109">
      <w:pPr>
        <w:autoSpaceDE w:val="0"/>
        <w:autoSpaceDN w:val="0"/>
        <w:adjustRightInd w:val="0"/>
        <w:jc w:val="center"/>
        <w:rPr>
          <w:b/>
        </w:rPr>
      </w:pPr>
    </w:p>
    <w:p w:rsidR="00860912" w:rsidRDefault="00D7069B" w:rsidP="001B5122">
      <w:pPr>
        <w:autoSpaceDE w:val="0"/>
        <w:autoSpaceDN w:val="0"/>
        <w:adjustRightInd w:val="0"/>
        <w:jc w:val="both"/>
        <w:rPr>
          <w:b/>
          <w:bCs/>
        </w:rPr>
      </w:pPr>
    </w:p>
    <w:p w:rsidR="00860912" w:rsidRPr="00A25F39" w:rsidRDefault="00E07500" w:rsidP="006D5F5B">
      <w:pPr>
        <w:autoSpaceDE w:val="0"/>
        <w:autoSpaceDN w:val="0"/>
        <w:adjustRightInd w:val="0"/>
        <w:rPr>
          <w:b/>
          <w:bCs/>
        </w:rPr>
      </w:pPr>
      <w:r>
        <w:rPr>
          <w:b/>
          <w:bCs/>
          <w:bdr w:val="nil"/>
          <w:lang w:val="es-ES" w:bidi="es-ES"/>
        </w:rPr>
        <w:t>PARA MÁS INFORMACIÓN</w:t>
      </w:r>
    </w:p>
    <w:p w:rsidR="00860912" w:rsidRPr="00D7069B" w:rsidRDefault="00E07500" w:rsidP="00860912">
      <w:pPr>
        <w:rPr>
          <w:lang w:val="es-ES"/>
        </w:rPr>
      </w:pPr>
      <w:r>
        <w:rPr>
          <w:bdr w:val="nil"/>
          <w:lang w:val="es-ES" w:bidi="es-ES"/>
        </w:rPr>
        <w:t xml:space="preserve">Puede pedir información adicional u obtener una copia de la Solicitud y los anexos relacionados escribiéndole a: Jamie York, Regulatory Case Manager for SDG&amp;E, 8330 Century Park Court, San Diego, CA 92123. SDG&amp;E proporcionará una copia de la Solicitud, </w:t>
      </w:r>
      <w:r w:rsidR="00E4596A">
        <w:rPr>
          <w:bdr w:val="nil"/>
          <w:lang w:val="es-ES" w:bidi="es-ES"/>
        </w:rPr>
        <w:t xml:space="preserve">incluidos los </w:t>
      </w:r>
      <w:r>
        <w:rPr>
          <w:bdr w:val="nil"/>
          <w:lang w:val="es-ES" w:bidi="es-ES"/>
        </w:rPr>
        <w:t>testimonios, previa solicitud. Una copia de la Solicitud y cualesquiera enmiendas también podrán inspeccionarse en las oficinas comerciales de SDG&amp;E que aparecen a continuación:</w:t>
      </w:r>
    </w:p>
    <w:p w:rsidR="00860912" w:rsidRPr="00D7069B" w:rsidRDefault="00D7069B" w:rsidP="00860912">
      <w:pPr>
        <w:jc w:val="both"/>
        <w:rPr>
          <w:sz w:val="22"/>
          <w:szCs w:val="22"/>
          <w:lang w:val="es-ES"/>
        </w:rPr>
      </w:pPr>
    </w:p>
    <w:tbl>
      <w:tblPr>
        <w:tblW w:w="0" w:type="auto"/>
        <w:tblLayout w:type="fixed"/>
        <w:tblLook w:val="0000" w:firstRow="0" w:lastRow="0" w:firstColumn="0" w:lastColumn="0" w:noHBand="0" w:noVBand="0"/>
      </w:tblPr>
      <w:tblGrid>
        <w:gridCol w:w="2952"/>
        <w:gridCol w:w="2952"/>
        <w:gridCol w:w="2952"/>
      </w:tblGrid>
      <w:tr w:rsidR="002013BC" w:rsidRPr="00D7069B" w:rsidTr="00D37B16">
        <w:tc>
          <w:tcPr>
            <w:tcW w:w="2952" w:type="dxa"/>
            <w:tcBorders>
              <w:top w:val="nil"/>
              <w:left w:val="nil"/>
              <w:bottom w:val="nil"/>
              <w:right w:val="nil"/>
            </w:tcBorders>
          </w:tcPr>
          <w:p w:rsidR="00860912" w:rsidRPr="00D7069B" w:rsidRDefault="00E07500" w:rsidP="00D37B16">
            <w:pPr>
              <w:jc w:val="both"/>
              <w:rPr>
                <w:lang w:val="es-ES"/>
              </w:rPr>
            </w:pPr>
            <w:r>
              <w:rPr>
                <w:sz w:val="22"/>
                <w:szCs w:val="22"/>
                <w:bdr w:val="nil"/>
                <w:lang w:val="es-ES" w:bidi="es-ES"/>
              </w:rPr>
              <w:t>436 H St.</w:t>
            </w:r>
          </w:p>
          <w:p w:rsidR="00860912" w:rsidRPr="00D7069B" w:rsidRDefault="00E07500" w:rsidP="00D37B16">
            <w:pPr>
              <w:jc w:val="both"/>
              <w:rPr>
                <w:lang w:val="es-ES"/>
              </w:rPr>
            </w:pPr>
            <w:r>
              <w:rPr>
                <w:sz w:val="22"/>
                <w:szCs w:val="22"/>
                <w:bdr w:val="nil"/>
                <w:lang w:val="es-ES" w:bidi="es-ES"/>
              </w:rPr>
              <w:t>Chula Vista, CA 91910</w:t>
            </w:r>
          </w:p>
          <w:p w:rsidR="00860912" w:rsidRPr="00D7069B" w:rsidRDefault="00D7069B" w:rsidP="00D37B16">
            <w:pPr>
              <w:jc w:val="both"/>
              <w:rPr>
                <w:lang w:val="es-ES"/>
              </w:rPr>
            </w:pPr>
          </w:p>
          <w:p w:rsidR="00860912" w:rsidRPr="00D7069B" w:rsidRDefault="00E07500" w:rsidP="00D37B16">
            <w:pPr>
              <w:jc w:val="both"/>
              <w:rPr>
                <w:lang w:val="es-ES"/>
              </w:rPr>
            </w:pPr>
            <w:r>
              <w:rPr>
                <w:sz w:val="22"/>
                <w:szCs w:val="22"/>
                <w:bdr w:val="nil"/>
                <w:lang w:val="es-ES" w:bidi="es-ES"/>
              </w:rPr>
              <w:t>2405 E. Plaza Blvd.</w:t>
            </w:r>
          </w:p>
          <w:p w:rsidR="00860912" w:rsidRDefault="00E07500" w:rsidP="00D37B16">
            <w:pPr>
              <w:jc w:val="both"/>
            </w:pPr>
            <w:r w:rsidRPr="00D7069B">
              <w:rPr>
                <w:sz w:val="22"/>
                <w:szCs w:val="22"/>
                <w:bdr w:val="nil"/>
                <w:lang w:bidi="es-ES"/>
              </w:rPr>
              <w:t>National City, CA 91950</w:t>
            </w:r>
          </w:p>
          <w:p w:rsidR="00860912" w:rsidRDefault="00D7069B" w:rsidP="00D37B16">
            <w:pPr>
              <w:jc w:val="both"/>
            </w:pPr>
          </w:p>
          <w:p w:rsidR="00860912" w:rsidRDefault="00E07500" w:rsidP="00D37B16">
            <w:pPr>
              <w:jc w:val="both"/>
            </w:pPr>
            <w:r w:rsidRPr="00D7069B">
              <w:rPr>
                <w:sz w:val="22"/>
                <w:szCs w:val="22"/>
                <w:bdr w:val="nil"/>
                <w:lang w:bidi="es-ES"/>
              </w:rPr>
              <w:t>440 Beech St.</w:t>
            </w:r>
          </w:p>
          <w:p w:rsidR="00860912" w:rsidRDefault="00E07500" w:rsidP="00D37B16">
            <w:pPr>
              <w:jc w:val="both"/>
            </w:pPr>
            <w:r>
              <w:rPr>
                <w:sz w:val="22"/>
                <w:szCs w:val="22"/>
                <w:bdr w:val="nil"/>
                <w:lang w:val="es-ES" w:bidi="es-ES"/>
              </w:rPr>
              <w:t>San Diego, CA 92101</w:t>
            </w:r>
          </w:p>
          <w:p w:rsidR="00860912" w:rsidRDefault="00D7069B" w:rsidP="00D37B16">
            <w:pPr>
              <w:jc w:val="both"/>
            </w:pPr>
          </w:p>
        </w:tc>
        <w:tc>
          <w:tcPr>
            <w:tcW w:w="2952" w:type="dxa"/>
            <w:tcBorders>
              <w:top w:val="nil"/>
              <w:left w:val="nil"/>
              <w:bottom w:val="nil"/>
              <w:right w:val="nil"/>
            </w:tcBorders>
          </w:tcPr>
          <w:p w:rsidR="00860912" w:rsidRPr="00350BBF" w:rsidRDefault="00E07500" w:rsidP="00D37B16">
            <w:pPr>
              <w:jc w:val="both"/>
              <w:rPr>
                <w:lang w:val="es-MX"/>
              </w:rPr>
            </w:pPr>
            <w:r>
              <w:rPr>
                <w:sz w:val="22"/>
                <w:szCs w:val="22"/>
                <w:bdr w:val="nil"/>
                <w:lang w:val="es-ES" w:bidi="es-ES"/>
              </w:rPr>
              <w:t>104 N. Johnson Ave.</w:t>
            </w:r>
          </w:p>
          <w:p w:rsidR="00860912" w:rsidRPr="00350BBF" w:rsidRDefault="00E07500" w:rsidP="00D37B16">
            <w:pPr>
              <w:jc w:val="both"/>
              <w:rPr>
                <w:lang w:val="es-MX"/>
              </w:rPr>
            </w:pPr>
            <w:r>
              <w:rPr>
                <w:sz w:val="22"/>
                <w:szCs w:val="22"/>
                <w:bdr w:val="nil"/>
                <w:lang w:val="es-ES" w:bidi="es-ES"/>
              </w:rPr>
              <w:t>El Cajon, CA 92020</w:t>
            </w:r>
          </w:p>
          <w:p w:rsidR="00860912" w:rsidRPr="00350BBF" w:rsidRDefault="00D7069B" w:rsidP="00D37B16">
            <w:pPr>
              <w:jc w:val="both"/>
              <w:rPr>
                <w:lang w:val="es-MX"/>
              </w:rPr>
            </w:pPr>
          </w:p>
          <w:p w:rsidR="00860912" w:rsidRPr="00D7069B" w:rsidRDefault="00E07500" w:rsidP="00D37B16">
            <w:pPr>
              <w:jc w:val="both"/>
              <w:rPr>
                <w:lang w:val="es-ES"/>
              </w:rPr>
            </w:pPr>
            <w:r>
              <w:rPr>
                <w:sz w:val="22"/>
                <w:szCs w:val="22"/>
                <w:bdr w:val="nil"/>
                <w:lang w:val="es-ES" w:bidi="es-ES"/>
              </w:rPr>
              <w:t>336 Euclid Ave.</w:t>
            </w:r>
          </w:p>
          <w:p w:rsidR="00860912" w:rsidRPr="00D7069B" w:rsidRDefault="00E07500" w:rsidP="00D37B16">
            <w:pPr>
              <w:jc w:val="both"/>
              <w:rPr>
                <w:lang w:val="es-ES"/>
              </w:rPr>
            </w:pPr>
            <w:r>
              <w:rPr>
                <w:sz w:val="22"/>
                <w:szCs w:val="22"/>
                <w:bdr w:val="nil"/>
                <w:lang w:val="es-ES" w:bidi="es-ES"/>
              </w:rPr>
              <w:t>San Diego, CA 92114</w:t>
            </w:r>
          </w:p>
          <w:p w:rsidR="00860912" w:rsidRPr="00D7069B" w:rsidRDefault="00D7069B" w:rsidP="00D37B16">
            <w:pPr>
              <w:jc w:val="both"/>
              <w:rPr>
                <w:lang w:val="es-ES"/>
              </w:rPr>
            </w:pPr>
          </w:p>
          <w:p w:rsidR="00860912" w:rsidRPr="00D7069B" w:rsidRDefault="00D7069B" w:rsidP="00D37B16">
            <w:pPr>
              <w:jc w:val="both"/>
              <w:rPr>
                <w:lang w:val="es-ES"/>
              </w:rPr>
            </w:pPr>
          </w:p>
        </w:tc>
        <w:tc>
          <w:tcPr>
            <w:tcW w:w="2952" w:type="dxa"/>
            <w:tcBorders>
              <w:top w:val="nil"/>
              <w:left w:val="nil"/>
              <w:bottom w:val="nil"/>
              <w:right w:val="nil"/>
            </w:tcBorders>
          </w:tcPr>
          <w:p w:rsidR="00860912" w:rsidRDefault="00E07500" w:rsidP="00D37B16">
            <w:pPr>
              <w:jc w:val="both"/>
              <w:rPr>
                <w:lang w:val="it-IT"/>
              </w:rPr>
            </w:pPr>
            <w:r>
              <w:rPr>
                <w:sz w:val="22"/>
                <w:szCs w:val="22"/>
                <w:bdr w:val="nil"/>
                <w:lang w:val="es-ES" w:bidi="es-ES"/>
              </w:rPr>
              <w:t>644 W. Mission Ave.</w:t>
            </w:r>
          </w:p>
          <w:p w:rsidR="00860912" w:rsidRDefault="00E07500" w:rsidP="00D37B16">
            <w:pPr>
              <w:jc w:val="both"/>
              <w:rPr>
                <w:lang w:val="it-IT"/>
              </w:rPr>
            </w:pPr>
            <w:r>
              <w:rPr>
                <w:sz w:val="22"/>
                <w:szCs w:val="22"/>
                <w:bdr w:val="nil"/>
                <w:lang w:val="es-ES" w:bidi="es-ES"/>
              </w:rPr>
              <w:t>Escondido, CA 92025</w:t>
            </w:r>
          </w:p>
          <w:p w:rsidR="00860912" w:rsidRDefault="00D7069B" w:rsidP="00D37B16">
            <w:pPr>
              <w:jc w:val="both"/>
              <w:rPr>
                <w:lang w:val="it-IT"/>
              </w:rPr>
            </w:pPr>
          </w:p>
          <w:p w:rsidR="00860912" w:rsidRPr="00350BBF" w:rsidRDefault="00E07500" w:rsidP="00D37B16">
            <w:pPr>
              <w:jc w:val="both"/>
              <w:rPr>
                <w:lang w:val="es-MX"/>
              </w:rPr>
            </w:pPr>
            <w:r>
              <w:rPr>
                <w:sz w:val="22"/>
                <w:szCs w:val="22"/>
                <w:bdr w:val="nil"/>
                <w:lang w:val="es-ES" w:bidi="es-ES"/>
              </w:rPr>
              <w:t>2604-B S. El Camino Real</w:t>
            </w:r>
          </w:p>
          <w:p w:rsidR="00860912" w:rsidRPr="00D7069B" w:rsidRDefault="00E07500" w:rsidP="00D37B16">
            <w:pPr>
              <w:jc w:val="both"/>
              <w:rPr>
                <w:lang w:val="es-ES"/>
              </w:rPr>
            </w:pPr>
            <w:r>
              <w:rPr>
                <w:sz w:val="22"/>
                <w:szCs w:val="22"/>
                <w:bdr w:val="nil"/>
                <w:lang w:val="es-ES" w:bidi="es-ES"/>
              </w:rPr>
              <w:t>Carlsbad, CA 92008</w:t>
            </w:r>
          </w:p>
        </w:tc>
      </w:tr>
    </w:tbl>
    <w:p w:rsidR="001B5122" w:rsidRPr="00D7069B" w:rsidRDefault="00E07500" w:rsidP="00860912">
      <w:pPr>
        <w:rPr>
          <w:lang w:val="es-ES"/>
        </w:rPr>
      </w:pPr>
      <w:r>
        <w:rPr>
          <w:bdr w:val="nil"/>
          <w:lang w:val="es-ES" w:bidi="es-ES"/>
        </w:rPr>
        <w:t>Hay copias de esta Solicitud en el sitio web de SDG&amp;E en:</w:t>
      </w:r>
    </w:p>
    <w:p w:rsidR="00860912" w:rsidRPr="00D7069B" w:rsidRDefault="00D7069B" w:rsidP="00860912">
      <w:pPr>
        <w:rPr>
          <w:lang w:val="es-ES"/>
        </w:rPr>
      </w:pPr>
      <w:r>
        <w:fldChar w:fldCharType="begin"/>
      </w:r>
      <w:r w:rsidRPr="00D7069B">
        <w:rPr>
          <w:lang w:val="es-ES"/>
        </w:rPr>
        <w:instrText xml:space="preserve"> HYPERLINK "http://www.sdge.com/sdge-2016-GRC-Phase-2" </w:instrText>
      </w:r>
      <w:r>
        <w:fldChar w:fldCharType="separate"/>
      </w:r>
      <w:r w:rsidR="00E07500">
        <w:rPr>
          <w:color w:val="0000FF"/>
          <w:u w:val="single"/>
          <w:bdr w:val="nil"/>
          <w:lang w:val="es-ES" w:bidi="es-ES"/>
        </w:rPr>
        <w:t>www.sdge.com/sdge-2016-GRC-Phase-2</w:t>
      </w:r>
      <w:r>
        <w:rPr>
          <w:color w:val="0000FF"/>
          <w:u w:val="single"/>
          <w:bdr w:val="nil"/>
          <w:lang w:val="es-ES" w:bidi="es-ES"/>
        </w:rPr>
        <w:fldChar w:fldCharType="end"/>
      </w:r>
      <w:r w:rsidR="00E07500">
        <w:rPr>
          <w:color w:val="0000FF"/>
          <w:u w:val="single"/>
          <w:bdr w:val="nil"/>
          <w:lang w:val="es-ES" w:bidi="es-ES"/>
        </w:rPr>
        <w:t>.</w:t>
      </w:r>
    </w:p>
    <w:p w:rsidR="001B5122" w:rsidRPr="00D7069B" w:rsidRDefault="00D7069B" w:rsidP="00860912">
      <w:pPr>
        <w:rPr>
          <w:color w:val="0000FF"/>
          <w:sz w:val="22"/>
          <w:szCs w:val="22"/>
          <w:u w:val="single"/>
          <w:lang w:val="es-ES"/>
        </w:rPr>
      </w:pPr>
    </w:p>
    <w:p w:rsidR="00860912" w:rsidRPr="00D7069B" w:rsidRDefault="00E07500" w:rsidP="00860912">
      <w:pPr>
        <w:rPr>
          <w:lang w:val="es-ES"/>
        </w:rPr>
      </w:pPr>
      <w:r>
        <w:rPr>
          <w:bdr w:val="nil"/>
          <w:lang w:val="es-ES" w:bidi="es-ES"/>
        </w:rPr>
        <w:t xml:space="preserve">Habrá copias de este encarte para su consulta e impresión en el sitio web de SDG&amp;E en </w:t>
      </w:r>
      <w:r w:rsidR="00D7069B">
        <w:fldChar w:fldCharType="begin"/>
      </w:r>
      <w:r w:rsidR="00D7069B" w:rsidRPr="00D7069B">
        <w:rPr>
          <w:lang w:val="es-ES"/>
        </w:rPr>
        <w:instrText xml:space="preserve"> HYPERLINK "http://www.sdge.com/regulatory-notices" </w:instrText>
      </w:r>
      <w:r w:rsidR="00D7069B">
        <w:fldChar w:fldCharType="separate"/>
      </w:r>
      <w:r>
        <w:rPr>
          <w:color w:val="0000FF"/>
          <w:u w:val="single"/>
          <w:bdr w:val="nil"/>
          <w:lang w:val="es-ES" w:bidi="es-ES"/>
        </w:rPr>
        <w:t>www.sdge.com/regulatory-notices</w:t>
      </w:r>
      <w:r w:rsidR="00D7069B">
        <w:rPr>
          <w:color w:val="0000FF"/>
          <w:u w:val="single"/>
          <w:bdr w:val="nil"/>
          <w:lang w:val="es-ES" w:bidi="es-ES"/>
        </w:rPr>
        <w:fldChar w:fldCharType="end"/>
      </w:r>
      <w:r>
        <w:rPr>
          <w:bdr w:val="nil"/>
          <w:lang w:val="es-ES" w:bidi="es-ES"/>
        </w:rPr>
        <w:t>.</w:t>
      </w:r>
    </w:p>
    <w:p w:rsidR="00860912" w:rsidRPr="00D7069B" w:rsidRDefault="00D7069B" w:rsidP="00860912">
      <w:pPr>
        <w:pStyle w:val="BodyText"/>
        <w:spacing w:after="0"/>
        <w:rPr>
          <w:b/>
          <w:lang w:val="es-ES"/>
        </w:rPr>
      </w:pPr>
    </w:p>
    <w:p w:rsidR="00860912" w:rsidRPr="00D7069B" w:rsidRDefault="00E07500" w:rsidP="00860912">
      <w:pPr>
        <w:pStyle w:val="BodyText"/>
        <w:spacing w:after="0"/>
        <w:rPr>
          <w:b/>
          <w:bCs/>
          <w:lang w:val="es-ES"/>
        </w:rPr>
      </w:pPr>
      <w:r>
        <w:rPr>
          <w:b/>
          <w:bCs/>
          <w:bdr w:val="nil"/>
          <w:lang w:val="es-ES" w:bidi="es-ES"/>
        </w:rPr>
        <w:t xml:space="preserve">PROCESO DE LA CPUC </w:t>
      </w:r>
    </w:p>
    <w:p w:rsidR="006D75A6" w:rsidRPr="00D7069B" w:rsidRDefault="00E07500" w:rsidP="006D75A6">
      <w:pPr>
        <w:rPr>
          <w:lang w:val="es-ES"/>
        </w:rPr>
      </w:pPr>
      <w:r>
        <w:rPr>
          <w:bdr w:val="nil"/>
          <w:lang w:val="es-ES" w:bidi="es-ES"/>
        </w:rPr>
        <w:t xml:space="preserve">La presente Solicitud será asignada a un Juez de Derecho Administrativo (Juez) quien determinará cómo se recibirán las pruebas y otros documentos relacionados, necesarios para que </w:t>
      </w:r>
      <w:r>
        <w:rPr>
          <w:bdr w:val="nil"/>
          <w:lang w:val="es-ES" w:bidi="es-ES"/>
        </w:rPr>
        <w:lastRenderedPageBreak/>
        <w:t xml:space="preserve">la CPUC establezca un acta en la que basará su decisión. Las audiencias para la presentación de pruebas pueden llevarse a cabo en donde las partes que aparecen en el acta presentarán su testimonio y pueden estar sujetas a un contrainterrogatorio por otras de las partes. Estas audiencias para la presentación de pruebas están abiertas al público, pero sólo las partes que aparecen en el acta pueden participar. </w:t>
      </w:r>
    </w:p>
    <w:p w:rsidR="006D75A6" w:rsidRPr="00D7069B" w:rsidRDefault="00D7069B" w:rsidP="006D75A6">
      <w:pPr>
        <w:rPr>
          <w:lang w:val="es-ES"/>
        </w:rPr>
      </w:pPr>
    </w:p>
    <w:p w:rsidR="006D75A6" w:rsidRPr="00D7069B" w:rsidRDefault="00E07500" w:rsidP="006D75A6">
      <w:pPr>
        <w:rPr>
          <w:lang w:val="es-ES"/>
        </w:rPr>
      </w:pPr>
      <w:r>
        <w:rPr>
          <w:bdr w:val="nil"/>
          <w:lang w:val="es-ES" w:bidi="es-ES"/>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apoyar una decisión alterna. La decisión propuesta y cualquier decisión alterna se discutirán y someterán a voto en una Reunión de Votación de la CPUC, que se programe. </w:t>
      </w:r>
    </w:p>
    <w:p w:rsidR="006D75A6" w:rsidRPr="00D7069B" w:rsidRDefault="00D7069B" w:rsidP="006D75A6">
      <w:pPr>
        <w:rPr>
          <w:lang w:val="es-ES"/>
        </w:rPr>
      </w:pPr>
    </w:p>
    <w:p w:rsidR="006D75A6" w:rsidRPr="00D7069B" w:rsidRDefault="00E07500" w:rsidP="006D75A6">
      <w:pPr>
        <w:rPr>
          <w:lang w:val="es-ES"/>
        </w:rPr>
      </w:pPr>
      <w:r>
        <w:rPr>
          <w:bdr w:val="nil"/>
          <w:lang w:val="es-ES" w:bidi="es-ES"/>
        </w:rPr>
        <w:t>Como una de las partes que aparecen en el acta, la Oficina de Defensores del Contribuyente (ORA) examinará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ORA, por favor llame al (415) 703-1584, envíe un mensaje por correo electrónico a ora@cpuc.ca.gov o visite el sitio web de ORA en www.ora.ca.gov.</w:t>
      </w:r>
    </w:p>
    <w:p w:rsidR="006D75A6" w:rsidRPr="00D7069B" w:rsidRDefault="00D7069B" w:rsidP="006D75A6">
      <w:pPr>
        <w:rPr>
          <w:lang w:val="es-ES"/>
        </w:rPr>
      </w:pPr>
    </w:p>
    <w:p w:rsidR="006D75A6" w:rsidRPr="00D7069B" w:rsidRDefault="00E07500" w:rsidP="006D75A6">
      <w:pPr>
        <w:rPr>
          <w:b/>
          <w:lang w:val="es-ES"/>
        </w:rPr>
      </w:pPr>
      <w:r>
        <w:rPr>
          <w:b/>
          <w:bCs/>
          <w:bdr w:val="nil"/>
          <w:lang w:val="es-ES" w:bidi="es-ES"/>
        </w:rPr>
        <w:t>MANTÉNGASE INFORMADO</w:t>
      </w:r>
    </w:p>
    <w:p w:rsidR="006D75A6" w:rsidRPr="00D7069B" w:rsidRDefault="00E07500" w:rsidP="006D75A6">
      <w:pPr>
        <w:rPr>
          <w:lang w:val="es-ES"/>
        </w:rPr>
      </w:pPr>
      <w:r>
        <w:rPr>
          <w:bdr w:val="nil"/>
          <w:lang w:val="es-ES" w:bidi="es-ES"/>
        </w:rPr>
        <w:t xml:space="preserve">Si desea seguir este procedimiento, o cualquier otro asunto presentado ante la CPUC, puede utilizar el servicio de suscripción gratuito de la CPUC. Inscríbase en: </w:t>
      </w:r>
      <w:r w:rsidR="00D7069B">
        <w:fldChar w:fldCharType="begin"/>
      </w:r>
      <w:r w:rsidR="00D7069B" w:rsidRPr="00D7069B">
        <w:rPr>
          <w:lang w:val="es-ES"/>
        </w:rPr>
        <w:instrText xml:space="preserve"> HYPERLINK "http://subscribecpuc.cpuc.ca.gov/" </w:instrText>
      </w:r>
      <w:r w:rsidR="00D7069B">
        <w:fldChar w:fldCharType="separate"/>
      </w:r>
      <w:r>
        <w:rPr>
          <w:color w:val="0000FF"/>
          <w:u w:val="single"/>
          <w:bdr w:val="nil"/>
          <w:lang w:val="es-ES" w:bidi="es-ES"/>
        </w:rPr>
        <w:t>http://subscribecpuc.cpuc.ca.gov/</w:t>
      </w:r>
      <w:r w:rsidR="00D7069B">
        <w:rPr>
          <w:color w:val="0000FF"/>
          <w:u w:val="single"/>
          <w:bdr w:val="nil"/>
          <w:lang w:val="es-ES" w:bidi="es-ES"/>
        </w:rPr>
        <w:fldChar w:fldCharType="end"/>
      </w:r>
      <w:r>
        <w:rPr>
          <w:bdr w:val="nil"/>
          <w:lang w:val="es-ES" w:bidi="es-ES"/>
        </w:rPr>
        <w:t>.</w:t>
      </w:r>
    </w:p>
    <w:p w:rsidR="008D2E19" w:rsidRPr="00D7069B" w:rsidRDefault="00D7069B" w:rsidP="006D75A6">
      <w:pPr>
        <w:rPr>
          <w:lang w:val="es-ES"/>
        </w:rPr>
      </w:pPr>
    </w:p>
    <w:p w:rsidR="006D75A6" w:rsidRPr="00D7069B" w:rsidRDefault="00E07500" w:rsidP="006D75A6">
      <w:pPr>
        <w:rPr>
          <w:lang w:val="es-ES"/>
        </w:rPr>
      </w:pPr>
      <w:r>
        <w:rPr>
          <w:bdr w:val="nil"/>
          <w:lang w:val="es-ES" w:bidi="es-ES"/>
        </w:rPr>
        <w:t xml:space="preserve">Si quiere obtener información sobre cómo puede participar en el procedimiento, o si tiene comentarios informales acerca de la Solicitud, o dudas en torno de los procesos de la CPUC, puede entrar a la página web de la Oficina del Asesor Público (PAO) de la CPUC en www.cpuc.ca.gov/puc y hacer clic en "Public Advisor" (Asesor Público) en el Menú de información de la CPUC. También puede ponerse en contacto con la PAO de la siguiente manera:  </w:t>
      </w:r>
    </w:p>
    <w:p w:rsidR="006D75A6" w:rsidRPr="00D7069B" w:rsidRDefault="00D7069B" w:rsidP="006D75A6">
      <w:pPr>
        <w:rPr>
          <w:lang w:val="es-ES"/>
        </w:rPr>
      </w:pPr>
    </w:p>
    <w:p w:rsidR="006D75A6" w:rsidRPr="00D7069B" w:rsidRDefault="00E07500" w:rsidP="006D75A6">
      <w:pPr>
        <w:rPr>
          <w:lang w:val="es-ES"/>
        </w:rPr>
      </w:pPr>
      <w:r>
        <w:rPr>
          <w:bdr w:val="nil"/>
          <w:lang w:val="es-ES" w:bidi="es-ES"/>
        </w:rPr>
        <w:t xml:space="preserve">Enviando un mensaje por correo electrónico </w:t>
      </w:r>
      <w:proofErr w:type="gramStart"/>
      <w:r>
        <w:rPr>
          <w:bdr w:val="nil"/>
          <w:lang w:val="es-ES" w:bidi="es-ES"/>
        </w:rPr>
        <w:t>a</w:t>
      </w:r>
      <w:proofErr w:type="gramEnd"/>
      <w:r>
        <w:rPr>
          <w:bdr w:val="nil"/>
          <w:lang w:val="es-ES" w:bidi="es-ES"/>
        </w:rPr>
        <w:t xml:space="preserve">: public.advisor@cpuc.ca.gov </w:t>
      </w:r>
    </w:p>
    <w:p w:rsidR="006D75A6" w:rsidRPr="00D7069B" w:rsidRDefault="00D7069B" w:rsidP="006D75A6">
      <w:pPr>
        <w:rPr>
          <w:lang w:val="es-ES"/>
        </w:rPr>
      </w:pPr>
    </w:p>
    <w:p w:rsidR="006D75A6" w:rsidRDefault="00E07500" w:rsidP="00E11694">
      <w:pPr>
        <w:tabs>
          <w:tab w:val="left" w:pos="1701"/>
        </w:tabs>
      </w:pPr>
      <w:r w:rsidRPr="00D7069B">
        <w:rPr>
          <w:bdr w:val="nil"/>
          <w:lang w:bidi="es-ES"/>
        </w:rPr>
        <w:t>Escribiendo a:</w:t>
      </w:r>
      <w:r w:rsidRPr="00D7069B">
        <w:rPr>
          <w:bdr w:val="nil"/>
          <w:lang w:bidi="es-ES"/>
        </w:rPr>
        <w:tab/>
        <w:t>CPUC Public Advisor’s Office, Room 2103</w:t>
      </w:r>
    </w:p>
    <w:p w:rsidR="006D75A6" w:rsidRPr="00D7069B" w:rsidRDefault="00E07500" w:rsidP="00E11694">
      <w:pPr>
        <w:tabs>
          <w:tab w:val="left" w:pos="1701"/>
        </w:tabs>
        <w:rPr>
          <w:lang w:val="es-ES"/>
        </w:rPr>
      </w:pPr>
      <w:r w:rsidRPr="00D7069B">
        <w:rPr>
          <w:bdr w:val="nil"/>
          <w:lang w:bidi="es-ES"/>
        </w:rPr>
        <w:tab/>
      </w:r>
      <w:r>
        <w:rPr>
          <w:bdr w:val="nil"/>
          <w:lang w:val="es-ES" w:bidi="es-ES"/>
        </w:rPr>
        <w:t>505 Van Ness Avenue</w:t>
      </w:r>
    </w:p>
    <w:p w:rsidR="006D75A6" w:rsidRPr="00D7069B" w:rsidRDefault="00E07500" w:rsidP="00E11694">
      <w:pPr>
        <w:tabs>
          <w:tab w:val="left" w:pos="1701"/>
        </w:tabs>
        <w:rPr>
          <w:lang w:val="es-ES"/>
        </w:rPr>
      </w:pPr>
      <w:r>
        <w:rPr>
          <w:bdr w:val="nil"/>
          <w:lang w:val="es-ES" w:bidi="es-ES"/>
        </w:rPr>
        <w:tab/>
        <w:t>San Francisco, CA 94102</w:t>
      </w:r>
    </w:p>
    <w:p w:rsidR="006D75A6" w:rsidRPr="00D7069B" w:rsidRDefault="00E07500" w:rsidP="00E11694">
      <w:pPr>
        <w:tabs>
          <w:tab w:val="left" w:pos="1418"/>
        </w:tabs>
        <w:rPr>
          <w:lang w:val="es-ES"/>
        </w:rPr>
      </w:pPr>
      <w:r>
        <w:rPr>
          <w:bdr w:val="nil"/>
          <w:lang w:val="es-ES" w:bidi="es-ES"/>
        </w:rPr>
        <w:t xml:space="preserve">Llamando al:  </w:t>
      </w:r>
      <w:r>
        <w:rPr>
          <w:bdr w:val="nil"/>
          <w:lang w:val="es-ES" w:bidi="es-ES"/>
        </w:rPr>
        <w:tab/>
        <w:t>1-866-849-8390 (sin costo) o al 1-415-703-2074</w:t>
      </w:r>
    </w:p>
    <w:p w:rsidR="00860912" w:rsidRPr="00D7069B" w:rsidRDefault="00E07500" w:rsidP="00E11694">
      <w:pPr>
        <w:tabs>
          <w:tab w:val="left" w:pos="1418"/>
        </w:tabs>
        <w:rPr>
          <w:lang w:val="es-ES"/>
        </w:rPr>
      </w:pPr>
      <w:r>
        <w:rPr>
          <w:bdr w:val="nil"/>
          <w:lang w:val="es-ES" w:bidi="es-ES"/>
        </w:rPr>
        <w:tab/>
        <w:t>TTY 1-866-836-7825 (sin costo) o 1-415-703-5282</w:t>
      </w:r>
    </w:p>
    <w:p w:rsidR="001E5727" w:rsidRPr="00D7069B" w:rsidRDefault="00D7069B" w:rsidP="00860912">
      <w:pPr>
        <w:rPr>
          <w:lang w:val="es-ES"/>
        </w:rPr>
      </w:pPr>
    </w:p>
    <w:p w:rsidR="00001277" w:rsidRPr="00D7069B" w:rsidRDefault="00E07500">
      <w:pPr>
        <w:rPr>
          <w:lang w:val="es-ES"/>
        </w:rPr>
      </w:pPr>
      <w:r>
        <w:rPr>
          <w:bdr w:val="nil"/>
          <w:lang w:val="es-ES" w:bidi="es-ES"/>
        </w:rPr>
        <w:t>Por favor haga referencia a SDG&amp;E Application No.15-04-012 en cualesquiera comunicaciones que sostenga con la Comisión en relación con este asunto. Todos los comentarios públicos se volverán parte del expediente de correspondencia pública de este procedimiento y se pondrán a disposición del Juez asignado, los Comisionados y el personal pertinente de la CPUC para su revisión.</w:t>
      </w:r>
    </w:p>
    <w:sectPr w:rsidR="00001277" w:rsidRPr="00D70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BC"/>
    <w:rsid w:val="00096D36"/>
    <w:rsid w:val="002013BC"/>
    <w:rsid w:val="00344C65"/>
    <w:rsid w:val="003C58E7"/>
    <w:rsid w:val="003D6234"/>
    <w:rsid w:val="00657CD0"/>
    <w:rsid w:val="008A7D6C"/>
    <w:rsid w:val="008E334B"/>
    <w:rsid w:val="009E2E75"/>
    <w:rsid w:val="00C8316B"/>
    <w:rsid w:val="00D7069B"/>
    <w:rsid w:val="00E07500"/>
    <w:rsid w:val="00E11694"/>
    <w:rsid w:val="00E2257E"/>
    <w:rsid w:val="00E4596A"/>
    <w:rsid w:val="00FA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0912"/>
    <w:pPr>
      <w:widowControl w:val="0"/>
      <w:spacing w:after="240"/>
    </w:pPr>
  </w:style>
  <w:style w:type="character" w:customStyle="1" w:styleId="BodyTextChar">
    <w:name w:val="Body Text Char"/>
    <w:basedOn w:val="DefaultParagraphFont"/>
    <w:link w:val="BodyText"/>
    <w:uiPriority w:val="99"/>
    <w:rsid w:val="00860912"/>
    <w:rPr>
      <w:rFonts w:ascii="Times New Roman" w:eastAsia="Times New Roman" w:hAnsi="Times New Roman" w:cs="Times New Roman"/>
      <w:sz w:val="24"/>
      <w:szCs w:val="24"/>
    </w:rPr>
  </w:style>
  <w:style w:type="paragraph" w:styleId="Header">
    <w:name w:val="header"/>
    <w:basedOn w:val="Normal"/>
    <w:link w:val="HeaderChar"/>
    <w:uiPriority w:val="99"/>
    <w:rsid w:val="00860912"/>
    <w:pPr>
      <w:tabs>
        <w:tab w:val="center" w:pos="4680"/>
        <w:tab w:val="right" w:pos="9360"/>
      </w:tabs>
    </w:pPr>
  </w:style>
  <w:style w:type="character" w:customStyle="1" w:styleId="HeaderChar">
    <w:name w:val="Header Char"/>
    <w:basedOn w:val="DefaultParagraphFont"/>
    <w:link w:val="Header"/>
    <w:uiPriority w:val="99"/>
    <w:rsid w:val="0086091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yperlink">
    <w:name w:val="Hyperlink"/>
    <w:uiPriority w:val="99"/>
    <w:rsid w:val="00860912"/>
    <w:rPr>
      <w:rFonts w:cs="Times New Roman"/>
      <w:color w:val="0000FF"/>
      <w:u w:val="single"/>
    </w:rPr>
  </w:style>
  <w:style w:type="character" w:styleId="CommentReference">
    <w:name w:val="annotation reference"/>
    <w:basedOn w:val="DefaultParagraphFont"/>
    <w:uiPriority w:val="99"/>
    <w:semiHidden/>
    <w:unhideWhenUsed/>
    <w:rsid w:val="009C3293"/>
    <w:rPr>
      <w:sz w:val="16"/>
      <w:szCs w:val="16"/>
    </w:rPr>
  </w:style>
  <w:style w:type="paragraph" w:styleId="CommentText">
    <w:name w:val="annotation text"/>
    <w:basedOn w:val="Normal"/>
    <w:link w:val="CommentTextChar"/>
    <w:uiPriority w:val="99"/>
    <w:semiHidden/>
    <w:unhideWhenUsed/>
    <w:rsid w:val="009C3293"/>
    <w:rPr>
      <w:sz w:val="20"/>
      <w:szCs w:val="20"/>
    </w:rPr>
  </w:style>
  <w:style w:type="character" w:customStyle="1" w:styleId="CommentTextChar">
    <w:name w:val="Comment Text Char"/>
    <w:basedOn w:val="DefaultParagraphFont"/>
    <w:link w:val="CommentText"/>
    <w:uiPriority w:val="99"/>
    <w:semiHidden/>
    <w:rsid w:val="009C3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293"/>
    <w:rPr>
      <w:b/>
      <w:bCs/>
    </w:rPr>
  </w:style>
  <w:style w:type="character" w:customStyle="1" w:styleId="CommentSubjectChar">
    <w:name w:val="Comment Subject Char"/>
    <w:basedOn w:val="CommentTextChar"/>
    <w:link w:val="CommentSubject"/>
    <w:uiPriority w:val="99"/>
    <w:semiHidden/>
    <w:rsid w:val="009C32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293"/>
    <w:rPr>
      <w:rFonts w:ascii="Tahoma" w:hAnsi="Tahoma" w:cs="Tahoma"/>
      <w:sz w:val="16"/>
      <w:szCs w:val="16"/>
    </w:rPr>
  </w:style>
  <w:style w:type="character" w:customStyle="1" w:styleId="BalloonTextChar">
    <w:name w:val="Balloon Text Char"/>
    <w:basedOn w:val="DefaultParagraphFont"/>
    <w:link w:val="BalloonText"/>
    <w:uiPriority w:val="99"/>
    <w:semiHidden/>
    <w:rsid w:val="009C3293"/>
    <w:rPr>
      <w:rFonts w:ascii="Tahoma" w:eastAsia="Times New Roman" w:hAnsi="Tahoma" w:cs="Tahoma"/>
      <w:sz w:val="16"/>
      <w:szCs w:val="16"/>
    </w:rPr>
  </w:style>
  <w:style w:type="paragraph" w:styleId="Revision">
    <w:name w:val="Revision"/>
    <w:hidden/>
    <w:uiPriority w:val="99"/>
    <w:semiHidden/>
    <w:rsid w:val="00C5610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0912"/>
    <w:pPr>
      <w:widowControl w:val="0"/>
      <w:spacing w:after="240"/>
    </w:pPr>
  </w:style>
  <w:style w:type="character" w:customStyle="1" w:styleId="BodyTextChar">
    <w:name w:val="Body Text Char"/>
    <w:basedOn w:val="DefaultParagraphFont"/>
    <w:link w:val="BodyText"/>
    <w:uiPriority w:val="99"/>
    <w:rsid w:val="00860912"/>
    <w:rPr>
      <w:rFonts w:ascii="Times New Roman" w:eastAsia="Times New Roman" w:hAnsi="Times New Roman" w:cs="Times New Roman"/>
      <w:sz w:val="24"/>
      <w:szCs w:val="24"/>
    </w:rPr>
  </w:style>
  <w:style w:type="paragraph" w:styleId="Header">
    <w:name w:val="header"/>
    <w:basedOn w:val="Normal"/>
    <w:link w:val="HeaderChar"/>
    <w:uiPriority w:val="99"/>
    <w:rsid w:val="00860912"/>
    <w:pPr>
      <w:tabs>
        <w:tab w:val="center" w:pos="4680"/>
        <w:tab w:val="right" w:pos="9360"/>
      </w:tabs>
    </w:pPr>
  </w:style>
  <w:style w:type="character" w:customStyle="1" w:styleId="HeaderChar">
    <w:name w:val="Header Char"/>
    <w:basedOn w:val="DefaultParagraphFont"/>
    <w:link w:val="Header"/>
    <w:uiPriority w:val="99"/>
    <w:rsid w:val="0086091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yperlink">
    <w:name w:val="Hyperlink"/>
    <w:uiPriority w:val="99"/>
    <w:rsid w:val="00860912"/>
    <w:rPr>
      <w:rFonts w:cs="Times New Roman"/>
      <w:color w:val="0000FF"/>
      <w:u w:val="single"/>
    </w:rPr>
  </w:style>
  <w:style w:type="character" w:styleId="CommentReference">
    <w:name w:val="annotation reference"/>
    <w:basedOn w:val="DefaultParagraphFont"/>
    <w:uiPriority w:val="99"/>
    <w:semiHidden/>
    <w:unhideWhenUsed/>
    <w:rsid w:val="009C3293"/>
    <w:rPr>
      <w:sz w:val="16"/>
      <w:szCs w:val="16"/>
    </w:rPr>
  </w:style>
  <w:style w:type="paragraph" w:styleId="CommentText">
    <w:name w:val="annotation text"/>
    <w:basedOn w:val="Normal"/>
    <w:link w:val="CommentTextChar"/>
    <w:uiPriority w:val="99"/>
    <w:semiHidden/>
    <w:unhideWhenUsed/>
    <w:rsid w:val="009C3293"/>
    <w:rPr>
      <w:sz w:val="20"/>
      <w:szCs w:val="20"/>
    </w:rPr>
  </w:style>
  <w:style w:type="character" w:customStyle="1" w:styleId="CommentTextChar">
    <w:name w:val="Comment Text Char"/>
    <w:basedOn w:val="DefaultParagraphFont"/>
    <w:link w:val="CommentText"/>
    <w:uiPriority w:val="99"/>
    <w:semiHidden/>
    <w:rsid w:val="009C3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293"/>
    <w:rPr>
      <w:b/>
      <w:bCs/>
    </w:rPr>
  </w:style>
  <w:style w:type="character" w:customStyle="1" w:styleId="CommentSubjectChar">
    <w:name w:val="Comment Subject Char"/>
    <w:basedOn w:val="CommentTextChar"/>
    <w:link w:val="CommentSubject"/>
    <w:uiPriority w:val="99"/>
    <w:semiHidden/>
    <w:rsid w:val="009C32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293"/>
    <w:rPr>
      <w:rFonts w:ascii="Tahoma" w:hAnsi="Tahoma" w:cs="Tahoma"/>
      <w:sz w:val="16"/>
      <w:szCs w:val="16"/>
    </w:rPr>
  </w:style>
  <w:style w:type="character" w:customStyle="1" w:styleId="BalloonTextChar">
    <w:name w:val="Balloon Text Char"/>
    <w:basedOn w:val="DefaultParagraphFont"/>
    <w:link w:val="BalloonText"/>
    <w:uiPriority w:val="99"/>
    <w:semiHidden/>
    <w:rsid w:val="009C3293"/>
    <w:rPr>
      <w:rFonts w:ascii="Tahoma" w:eastAsia="Times New Roman" w:hAnsi="Tahoma" w:cs="Tahoma"/>
      <w:sz w:val="16"/>
      <w:szCs w:val="16"/>
    </w:rPr>
  </w:style>
  <w:style w:type="paragraph" w:styleId="Revision">
    <w:name w:val="Revision"/>
    <w:hidden/>
    <w:uiPriority w:val="99"/>
    <w:semiHidden/>
    <w:rsid w:val="00C5610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50AF-2221-4969-BFAA-C5D31827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8678</Characters>
  <Application>Microsoft Office Word</Application>
  <DocSecurity>0</DocSecurity>
  <Lines>333</Lines>
  <Paragraphs>204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Sempra Energy</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Klaiber, Steven;Rogelio</dc:creator>
  <cp:lastModifiedBy>Rogelio</cp:lastModifiedBy>
  <cp:revision>2</cp:revision>
  <cp:lastPrinted>2015-12-02T19:38:00Z</cp:lastPrinted>
  <dcterms:created xsi:type="dcterms:W3CDTF">2015-12-07T06:06:00Z</dcterms:created>
  <dcterms:modified xsi:type="dcterms:W3CDTF">2015-12-07T06:06:00Z</dcterms:modified>
</cp:coreProperties>
</file>