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7A7C" w14:textId="77777777" w:rsidR="00860912" w:rsidRPr="00DE0334" w:rsidRDefault="00E5648D" w:rsidP="00860912">
      <w:pPr>
        <w:pStyle w:val="Header"/>
        <w:jc w:val="center"/>
        <w:rPr>
          <w:b/>
        </w:rPr>
      </w:pPr>
      <w:bookmarkStart w:id="0" w:name="_GoBack"/>
      <w:bookmarkEnd w:id="0"/>
      <w:r w:rsidRPr="00DE0334">
        <w:rPr>
          <w:b/>
          <w:bCs/>
          <w:lang w:val="es-ES" w:bidi="es-ES"/>
        </w:rPr>
        <w:t>Para más detalles, llame al 1-800-311-7343</w:t>
      </w:r>
    </w:p>
    <w:p w14:paraId="2F6AA550" w14:textId="77777777" w:rsidR="00860912" w:rsidRPr="00350BBF" w:rsidRDefault="00C05CD4" w:rsidP="00860912">
      <w:pPr>
        <w:pStyle w:val="Table"/>
        <w:rPr>
          <w:lang w:val="es-MX"/>
        </w:rPr>
      </w:pPr>
    </w:p>
    <w:p w14:paraId="2954C5BB" w14:textId="77777777" w:rsidR="00860912" w:rsidRPr="00A25F39" w:rsidRDefault="00E5648D"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A25F39">
        <w:rPr>
          <w:rFonts w:ascii="Times New Roman" w:hAnsi="Times New Roman" w:cs="Times New Roman"/>
          <w:caps w:val="0"/>
          <w:sz w:val="24"/>
          <w:szCs w:val="24"/>
          <w:lang w:val="es-ES" w:bidi="es-ES"/>
        </w:rPr>
        <w:t>NOTIFICACIÓN DE</w:t>
      </w:r>
    </w:p>
    <w:p w14:paraId="34325E57" w14:textId="77777777" w:rsidR="00860912" w:rsidRDefault="00134EA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lang w:val="es-ES" w:bidi="es-ES"/>
        </w:rPr>
        <w:t xml:space="preserve">SOLICITUD DE </w:t>
      </w:r>
      <w:r w:rsidR="00E5648D" w:rsidRPr="00A25F39">
        <w:rPr>
          <w:rFonts w:ascii="Times New Roman" w:hAnsi="Times New Roman" w:cs="Times New Roman"/>
          <w:caps w:val="0"/>
          <w:sz w:val="24"/>
          <w:szCs w:val="24"/>
          <w:lang w:val="es-ES" w:bidi="es-ES"/>
        </w:rPr>
        <w:t xml:space="preserve">SAN DIEGO GAS &amp; ELECTRIC COMPANY </w:t>
      </w:r>
    </w:p>
    <w:p w14:paraId="0B5A0D6B" w14:textId="77777777" w:rsidR="00134EAC" w:rsidRDefault="00134EAC" w:rsidP="00134EAC">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 w:bidi="es-ES"/>
        </w:rPr>
      </w:pPr>
      <w:r>
        <w:rPr>
          <w:rFonts w:ascii="Times New Roman" w:hAnsi="Times New Roman" w:cs="Times New Roman"/>
          <w:caps w:val="0"/>
          <w:sz w:val="24"/>
          <w:szCs w:val="24"/>
          <w:lang w:val="es-ES" w:bidi="es-ES"/>
        </w:rPr>
        <w:t xml:space="preserve">A FIN DE CAMBIAR TARIFAS PARA LA </w:t>
      </w:r>
    </w:p>
    <w:p w14:paraId="18C1853C" w14:textId="77777777" w:rsidR="00860912" w:rsidRDefault="00134EAC"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Pr>
          <w:rFonts w:ascii="Times New Roman" w:hAnsi="Times New Roman" w:cs="Times New Roman"/>
          <w:caps w:val="0"/>
          <w:sz w:val="24"/>
          <w:szCs w:val="24"/>
          <w:lang w:val="es-ES" w:bidi="es-ES"/>
        </w:rPr>
        <w:t xml:space="preserve">REVISIÓN GENERAL DE TARIFAS FASE </w:t>
      </w:r>
      <w:r w:rsidR="00E5648D">
        <w:rPr>
          <w:rFonts w:ascii="Times New Roman" w:hAnsi="Times New Roman" w:cs="Times New Roman"/>
          <w:caps w:val="0"/>
          <w:sz w:val="24"/>
          <w:szCs w:val="24"/>
          <w:lang w:val="es-ES" w:bidi="es-ES"/>
        </w:rPr>
        <w:t xml:space="preserve">2 </w:t>
      </w:r>
    </w:p>
    <w:p w14:paraId="53210D96" w14:textId="77777777" w:rsidR="00860912" w:rsidRPr="00614046" w:rsidRDefault="00E5648D" w:rsidP="00860912">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A25F39">
        <w:rPr>
          <w:rFonts w:ascii="Times New Roman" w:hAnsi="Times New Roman" w:cs="Times New Roman"/>
          <w:caps w:val="0"/>
          <w:sz w:val="24"/>
          <w:szCs w:val="24"/>
          <w:lang w:val="es-ES" w:bidi="es-ES"/>
        </w:rPr>
        <w:t xml:space="preserve">PRESENTACIÓN DE SOLICITUD </w:t>
      </w:r>
      <w:r w:rsidRPr="00A25F39">
        <w:rPr>
          <w:rFonts w:ascii="Times New Roman" w:hAnsi="Times New Roman" w:cs="Times New Roman"/>
          <w:sz w:val="24"/>
          <w:szCs w:val="24"/>
          <w:lang w:val="es-ES" w:bidi="es-ES"/>
        </w:rPr>
        <w:t>A.15-04-012</w:t>
      </w:r>
    </w:p>
    <w:p w14:paraId="36131593" w14:textId="77777777" w:rsidR="00860912" w:rsidRPr="00A25F39" w:rsidRDefault="00C05CD4" w:rsidP="00860912">
      <w:pPr>
        <w:pStyle w:val="Table"/>
        <w:jc w:val="both"/>
        <w:rPr>
          <w:rFonts w:ascii="Times New Roman" w:hAnsi="Times New Roman" w:cs="Times New Roman"/>
        </w:rPr>
      </w:pPr>
    </w:p>
    <w:p w14:paraId="152F7954" w14:textId="77777777" w:rsidR="00860912" w:rsidRDefault="00E5648D" w:rsidP="00860912">
      <w:pPr>
        <w:autoSpaceDE w:val="0"/>
        <w:autoSpaceDN w:val="0"/>
        <w:adjustRightInd w:val="0"/>
      </w:pPr>
      <w:r w:rsidRPr="00FE1A9E">
        <w:rPr>
          <w:lang w:val="es-ES" w:bidi="es-ES"/>
        </w:rPr>
        <w:t>El 13 de abril de 2015, San Diego Gas &amp; Electric Company (SDG&amp;E</w:t>
      </w:r>
      <w:r w:rsidRPr="00FE1A9E">
        <w:rPr>
          <w:vertAlign w:val="superscript"/>
          <w:lang w:val="es-ES" w:bidi="es-ES"/>
        </w:rPr>
        <w:t>®</w:t>
      </w:r>
      <w:r w:rsidRPr="00FE1A9E">
        <w:rPr>
          <w:lang w:val="es-ES" w:bidi="es-ES"/>
        </w:rPr>
        <w:t xml:space="preserve">) presentó su Solicitud Fase 2 para la Revisión General de Tarifas (General </w:t>
      </w:r>
      <w:proofErr w:type="spellStart"/>
      <w:r w:rsidRPr="00FE1A9E">
        <w:rPr>
          <w:lang w:val="es-ES" w:bidi="es-ES"/>
        </w:rPr>
        <w:t>Rate</w:t>
      </w:r>
      <w:proofErr w:type="spellEnd"/>
      <w:r w:rsidRPr="00FE1A9E">
        <w:rPr>
          <w:lang w:val="es-ES" w:bidi="es-ES"/>
        </w:rPr>
        <w:t xml:space="preserve"> Case, GRC) ante la Comisión de Servicios Públicos de California (CPUC), buscando aprobación </w:t>
      </w:r>
      <w:r w:rsidR="00353EC9">
        <w:rPr>
          <w:lang w:val="es-ES" w:bidi="es-ES"/>
        </w:rPr>
        <w:t xml:space="preserve">para </w:t>
      </w:r>
      <w:r w:rsidRPr="00FE1A9E">
        <w:rPr>
          <w:lang w:val="es-ES" w:bidi="es-ES"/>
        </w:rPr>
        <w:t xml:space="preserve">cambiar ciertas tarifas eléctricas para nuestros clientes. Esta Solicitud no propone ningún cambio al ingreso total porque los cambios en los ingresos se abordaron en la GRC Fase 1 (A.14-11-003) de SDG&amp;E, presentada el 14 de noviembre de 2014. Además, en esta Solicitud no se piden cambios a las tarifas de gas.  </w:t>
      </w:r>
    </w:p>
    <w:p w14:paraId="594E4595" w14:textId="77777777" w:rsidR="00860912" w:rsidRDefault="00C05CD4" w:rsidP="00860912">
      <w:pPr>
        <w:autoSpaceDE w:val="0"/>
        <w:autoSpaceDN w:val="0"/>
        <w:adjustRightInd w:val="0"/>
      </w:pPr>
    </w:p>
    <w:p w14:paraId="2AD05C91" w14:textId="77777777" w:rsidR="00860912" w:rsidRDefault="00E5648D" w:rsidP="00860912">
      <w:pPr>
        <w:autoSpaceDE w:val="0"/>
        <w:autoSpaceDN w:val="0"/>
        <w:adjustRightInd w:val="0"/>
      </w:pPr>
      <w:r>
        <w:rPr>
          <w:lang w:val="es-ES" w:bidi="es-ES"/>
        </w:rPr>
        <w:t xml:space="preserve">SDG&amp;E propone en esta Solicitud actualizar </w:t>
      </w:r>
      <w:r w:rsidR="00353EC9">
        <w:rPr>
          <w:lang w:val="es-ES" w:bidi="es-ES"/>
        </w:rPr>
        <w:t>la forma en que</w:t>
      </w:r>
      <w:r>
        <w:rPr>
          <w:lang w:val="es-ES" w:bidi="es-ES"/>
        </w:rPr>
        <w:t xml:space="preserve"> los diferentes costos relacionados con la distribución eléctrica (el proceso de distribuir energía </w:t>
      </w:r>
      <w:r w:rsidR="00A508F3">
        <w:rPr>
          <w:lang w:val="es-ES" w:bidi="es-ES"/>
        </w:rPr>
        <w:t>a</w:t>
      </w:r>
      <w:r>
        <w:rPr>
          <w:lang w:val="es-ES" w:bidi="es-ES"/>
        </w:rPr>
        <w:t xml:space="preserve"> nivel local, incluida su casa), la generación eléctrica (el costo de la electricidad), y los programas con fines públicos (como los programas para personas de bajos ingresos y de eficiencia energética) se asignan a las distintas clases de cliente. Para los costos de distribución eléctrica, SDG&amp;E está proponiendo introducir gradualmente estos cambios a lo largo de un periodo de tres años a fin de minimizar las repercusiones para los clientes residenciales.  </w:t>
      </w:r>
    </w:p>
    <w:p w14:paraId="167BEEAF" w14:textId="77777777" w:rsidR="002679A4" w:rsidRDefault="00C05CD4" w:rsidP="00860912">
      <w:pPr>
        <w:autoSpaceDE w:val="0"/>
        <w:autoSpaceDN w:val="0"/>
        <w:adjustRightInd w:val="0"/>
      </w:pPr>
    </w:p>
    <w:p w14:paraId="2B807868" w14:textId="77777777" w:rsidR="00860912" w:rsidRDefault="00E5648D" w:rsidP="00860912">
      <w:pPr>
        <w:autoSpaceDE w:val="0"/>
        <w:autoSpaceDN w:val="0"/>
        <w:adjustRightInd w:val="0"/>
      </w:pPr>
      <w:r>
        <w:rPr>
          <w:lang w:val="es-ES" w:bidi="es-ES"/>
        </w:rPr>
        <w:t xml:space="preserve">Además, SDG&amp;E propone (1) moverse gradualmente hacia tarifas que reflejen mejor el costo por prestar el servicio y (2) nuevas opciones tarifarias principalmente para clientes comerciales.  Un ejemplo de una nueva opción tarifaria es la tarifa de desarrollo económico </w:t>
      </w:r>
      <w:proofErr w:type="spellStart"/>
      <w:r>
        <w:rPr>
          <w:lang w:val="es-ES" w:bidi="es-ES"/>
        </w:rPr>
        <w:t>Economic</w:t>
      </w:r>
      <w:proofErr w:type="spellEnd"/>
      <w:r>
        <w:rPr>
          <w:lang w:val="es-ES" w:bidi="es-ES"/>
        </w:rPr>
        <w:t xml:space="preserve"> </w:t>
      </w:r>
      <w:proofErr w:type="spellStart"/>
      <w:r>
        <w:rPr>
          <w:lang w:val="es-ES" w:bidi="es-ES"/>
        </w:rPr>
        <w:t>Development</w:t>
      </w:r>
      <w:proofErr w:type="spellEnd"/>
      <w:r>
        <w:rPr>
          <w:lang w:val="es-ES" w:bidi="es-ES"/>
        </w:rPr>
        <w:t xml:space="preserve"> </w:t>
      </w:r>
      <w:proofErr w:type="spellStart"/>
      <w:r>
        <w:rPr>
          <w:lang w:val="es-ES" w:bidi="es-ES"/>
        </w:rPr>
        <w:t>Rate</w:t>
      </w:r>
      <w:proofErr w:type="spellEnd"/>
      <w:r>
        <w:rPr>
          <w:lang w:val="es-ES" w:bidi="es-ES"/>
        </w:rPr>
        <w:t xml:space="preserve"> (EDR). La EDR, que proporcionará un descuento en la factura mensual de un cliente comercial que reúna los requisitos, busca ayudar a conservar, atraer o expandir empleos en California que se perderían como resultado del cierre de un negocio. Las opciones de tarifas residenciales actualmente</w:t>
      </w:r>
      <w:r w:rsidR="00D23BBC">
        <w:rPr>
          <w:lang w:val="es-ES" w:bidi="es-ES"/>
        </w:rPr>
        <w:t xml:space="preserve"> están siendo abordadas</w:t>
      </w:r>
      <w:r>
        <w:rPr>
          <w:lang w:val="es-ES" w:bidi="es-ES"/>
        </w:rPr>
        <w:t xml:space="preserve"> en el proceso de potestad reglamentaria de reforma de tarifas residenciales </w:t>
      </w:r>
      <w:proofErr w:type="spellStart"/>
      <w:r>
        <w:rPr>
          <w:lang w:val="es-ES" w:bidi="es-ES"/>
        </w:rPr>
        <w:t>Residential</w:t>
      </w:r>
      <w:proofErr w:type="spellEnd"/>
      <w:r>
        <w:rPr>
          <w:lang w:val="es-ES" w:bidi="es-ES"/>
        </w:rPr>
        <w:t xml:space="preserve"> </w:t>
      </w:r>
      <w:proofErr w:type="spellStart"/>
      <w:r>
        <w:rPr>
          <w:lang w:val="es-ES" w:bidi="es-ES"/>
        </w:rPr>
        <w:t>Rate</w:t>
      </w:r>
      <w:proofErr w:type="spellEnd"/>
      <w:r>
        <w:rPr>
          <w:lang w:val="es-ES" w:bidi="es-ES"/>
        </w:rPr>
        <w:t xml:space="preserve"> </w:t>
      </w:r>
      <w:proofErr w:type="spellStart"/>
      <w:r>
        <w:rPr>
          <w:lang w:val="es-ES" w:bidi="es-ES"/>
        </w:rPr>
        <w:t>Reform</w:t>
      </w:r>
      <w:proofErr w:type="spellEnd"/>
      <w:r>
        <w:rPr>
          <w:lang w:val="es-ES" w:bidi="es-ES"/>
        </w:rPr>
        <w:t xml:space="preserve"> </w:t>
      </w:r>
      <w:proofErr w:type="spellStart"/>
      <w:r>
        <w:rPr>
          <w:lang w:val="es-ES" w:bidi="es-ES"/>
        </w:rPr>
        <w:t>Rulemaking</w:t>
      </w:r>
      <w:proofErr w:type="spellEnd"/>
      <w:r>
        <w:rPr>
          <w:lang w:val="es-ES" w:bidi="es-ES"/>
        </w:rPr>
        <w:t xml:space="preserve"> (R.12-06-013), que está pendiente ante la CPUC.  </w:t>
      </w:r>
    </w:p>
    <w:p w14:paraId="7A97F689" w14:textId="77777777" w:rsidR="00860912" w:rsidRDefault="00C05CD4" w:rsidP="00860912">
      <w:pPr>
        <w:autoSpaceDE w:val="0"/>
        <w:autoSpaceDN w:val="0"/>
        <w:adjustRightInd w:val="0"/>
      </w:pPr>
    </w:p>
    <w:p w14:paraId="32D9CDEC" w14:textId="77777777" w:rsidR="00860912" w:rsidRPr="008D6E0B" w:rsidRDefault="00E5648D" w:rsidP="00860912">
      <w:pPr>
        <w:autoSpaceDE w:val="0"/>
        <w:autoSpaceDN w:val="0"/>
        <w:adjustRightInd w:val="0"/>
        <w:rPr>
          <w:b/>
          <w:bCs/>
        </w:rPr>
      </w:pPr>
      <w:r>
        <w:rPr>
          <w:lang w:val="es-ES" w:bidi="es-ES"/>
        </w:rPr>
        <w:t>SDG&amp;E solicitó los cambios propuestos en esta Solicitud para que entren en vigor el 1 de enero de 2016. En caso de aprobarse tal como se presentaron, los clientes de SDG&amp;E verían los cambios aquí descritos.</w:t>
      </w:r>
    </w:p>
    <w:p w14:paraId="68BD9CCA" w14:textId="77777777" w:rsidR="00860912" w:rsidRDefault="00C05CD4" w:rsidP="00860912">
      <w:pPr>
        <w:autoSpaceDE w:val="0"/>
        <w:autoSpaceDN w:val="0"/>
        <w:adjustRightInd w:val="0"/>
        <w:rPr>
          <w:b/>
          <w:bCs/>
        </w:rPr>
      </w:pPr>
      <w:bookmarkStart w:id="1" w:name="_DV_M51"/>
      <w:bookmarkEnd w:id="1"/>
    </w:p>
    <w:p w14:paraId="4D34EB37" w14:textId="77777777" w:rsidR="00860912" w:rsidRPr="00A25F39" w:rsidRDefault="00E5648D" w:rsidP="00860912">
      <w:pPr>
        <w:autoSpaceDE w:val="0"/>
        <w:autoSpaceDN w:val="0"/>
        <w:adjustRightInd w:val="0"/>
        <w:jc w:val="center"/>
        <w:rPr>
          <w:b/>
          <w:bCs/>
        </w:rPr>
      </w:pPr>
      <w:r w:rsidRPr="00DA75D5">
        <w:rPr>
          <w:b/>
          <w:bCs/>
          <w:lang w:val="es-ES" w:bidi="es-ES"/>
        </w:rPr>
        <w:t>IMPACTO ESTIMADO DE ESTA SOLICITUD EN LAS TARIFAS ELÉCTRICAS</w:t>
      </w:r>
    </w:p>
    <w:p w14:paraId="02308429" w14:textId="77777777" w:rsidR="00860912" w:rsidRPr="00A25F39" w:rsidRDefault="00C05CD4" w:rsidP="00860912">
      <w:pPr>
        <w:autoSpaceDE w:val="0"/>
        <w:autoSpaceDN w:val="0"/>
        <w:adjustRightInd w:val="0"/>
      </w:pPr>
    </w:p>
    <w:p w14:paraId="1A4AD0F2" w14:textId="77777777" w:rsidR="00860912" w:rsidRPr="00A25F39" w:rsidRDefault="00E5648D" w:rsidP="00860912">
      <w:pPr>
        <w:autoSpaceDE w:val="0"/>
        <w:autoSpaceDN w:val="0"/>
        <w:adjustRightInd w:val="0"/>
      </w:pPr>
      <w:r w:rsidRPr="0052235A">
        <w:rPr>
          <w:lang w:val="es-ES" w:bidi="es-ES"/>
        </w:rPr>
        <w:t xml:space="preserve">Si la CPUC aprueba la solicitud de SDG&amp;E, un cliente residencial típico que viva en la zona climática del interior y consuma un promedio de 500 </w:t>
      </w:r>
      <w:proofErr w:type="spellStart"/>
      <w:r w:rsidRPr="0052235A">
        <w:rPr>
          <w:lang w:val="es-ES" w:bidi="es-ES"/>
        </w:rPr>
        <w:t>KWh</w:t>
      </w:r>
      <w:proofErr w:type="spellEnd"/>
      <w:r w:rsidRPr="0052235A">
        <w:rPr>
          <w:lang w:val="es-ES" w:bidi="es-ES"/>
        </w:rPr>
        <w:t xml:space="preserve"> al mes verá un incremento en la factura mensual de invierno a partir de enero de 2016 de $0.41, o 0.4%. Una factura eléctrica mensual típica aumentará de $104.63 en la actualidad a $105.04 en 2016, y $106.31 para 2017, y $107.57 para 2018. Los montos en dólares y los porcentajes mostrados no necesariamente reflejan los cambios exactos que usted tal vez vea en su factura. Los cambios en las facturas individuales dependerán también de cuánta electricidad consuma cada cliente.</w:t>
      </w:r>
      <w:r w:rsidR="00F75D99">
        <w:rPr>
          <w:lang w:val="es-ES" w:bidi="es-ES"/>
        </w:rPr>
        <w:t xml:space="preserve"> </w:t>
      </w:r>
      <w:r w:rsidRPr="0052235A">
        <w:rPr>
          <w:lang w:val="es-ES" w:bidi="es-ES"/>
        </w:rPr>
        <w:t xml:space="preserve">La tabla 1 a </w:t>
      </w:r>
      <w:r w:rsidRPr="0052235A">
        <w:rPr>
          <w:lang w:val="es-ES" w:bidi="es-ES"/>
        </w:rPr>
        <w:lastRenderedPageBreak/>
        <w:t xml:space="preserve">continuación muestra una comparación de las tarifas actuales promedio por clase con las tarifas propuestas para 2016, 2017 y 2018. </w:t>
      </w:r>
    </w:p>
    <w:p w14:paraId="433E824C" w14:textId="77777777" w:rsidR="00860912" w:rsidRDefault="00C05CD4" w:rsidP="00860912">
      <w:pPr>
        <w:autoSpaceDE w:val="0"/>
        <w:autoSpaceDN w:val="0"/>
        <w:adjustRightInd w:val="0"/>
        <w:jc w:val="both"/>
      </w:pPr>
    </w:p>
    <w:p w14:paraId="501978CC" w14:textId="77777777" w:rsidR="00C56109" w:rsidRDefault="00C05CD4" w:rsidP="00C56109">
      <w:pPr>
        <w:autoSpaceDE w:val="0"/>
        <w:autoSpaceDN w:val="0"/>
        <w:adjustRightInd w:val="0"/>
        <w:jc w:val="center"/>
        <w:rPr>
          <w:b/>
        </w:rPr>
      </w:pPr>
    </w:p>
    <w:p w14:paraId="7C3C061E" w14:textId="77777777" w:rsidR="00C56109" w:rsidRDefault="00C05CD4" w:rsidP="00C56109">
      <w:pPr>
        <w:autoSpaceDE w:val="0"/>
        <w:autoSpaceDN w:val="0"/>
        <w:adjustRightInd w:val="0"/>
        <w:jc w:val="center"/>
        <w:rPr>
          <w:b/>
        </w:rPr>
      </w:pPr>
    </w:p>
    <w:p w14:paraId="25C3AF33" w14:textId="77777777" w:rsidR="00C56109" w:rsidRDefault="00C05CD4" w:rsidP="00C56109">
      <w:pPr>
        <w:autoSpaceDE w:val="0"/>
        <w:autoSpaceDN w:val="0"/>
        <w:adjustRightInd w:val="0"/>
        <w:jc w:val="center"/>
        <w:rPr>
          <w:b/>
        </w:rPr>
      </w:pPr>
    </w:p>
    <w:p w14:paraId="5F250C92" w14:textId="77777777" w:rsidR="00C56109" w:rsidRPr="00C44FBD" w:rsidRDefault="00E5648D" w:rsidP="00C56109">
      <w:pPr>
        <w:autoSpaceDE w:val="0"/>
        <w:autoSpaceDN w:val="0"/>
        <w:adjustRightInd w:val="0"/>
        <w:jc w:val="center"/>
        <w:rPr>
          <w:b/>
        </w:rPr>
      </w:pPr>
      <w:r w:rsidRPr="00C44FBD">
        <w:rPr>
          <w:b/>
          <w:bCs/>
          <w:lang w:val="es-ES" w:bidi="es-ES"/>
        </w:rPr>
        <w:t>Tabla 1: Propuesta de SDG&amp;E comparada con las tarifas actuales en vigor</w:t>
      </w:r>
    </w:p>
    <w:p w14:paraId="2B601D19" w14:textId="77777777" w:rsidR="00C56109" w:rsidRPr="00A25F39" w:rsidRDefault="00C05CD4" w:rsidP="00C56109">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047"/>
        <w:gridCol w:w="1096"/>
        <w:gridCol w:w="864"/>
        <w:gridCol w:w="1008"/>
        <w:gridCol w:w="1096"/>
        <w:gridCol w:w="864"/>
        <w:gridCol w:w="956"/>
        <w:gridCol w:w="1096"/>
        <w:gridCol w:w="864"/>
        <w:gridCol w:w="956"/>
      </w:tblGrid>
      <w:tr w:rsidR="006E61D7" w14:paraId="474D63FF" w14:textId="77777777" w:rsidTr="00C44FBD">
        <w:trPr>
          <w:trHeight w:val="287"/>
          <w:jc w:val="center"/>
        </w:trPr>
        <w:tc>
          <w:tcPr>
            <w:tcW w:w="1304" w:type="dxa"/>
            <w:tcBorders>
              <w:bottom w:val="nil"/>
            </w:tcBorders>
            <w:vAlign w:val="bottom"/>
          </w:tcPr>
          <w:p w14:paraId="21491CAE" w14:textId="77777777" w:rsidR="00C56109" w:rsidRPr="00435197" w:rsidRDefault="00C05CD4" w:rsidP="00C44FBD">
            <w:pPr>
              <w:autoSpaceDE w:val="0"/>
              <w:autoSpaceDN w:val="0"/>
              <w:adjustRightInd w:val="0"/>
              <w:jc w:val="both"/>
              <w:rPr>
                <w:b/>
                <w:sz w:val="22"/>
                <w:szCs w:val="22"/>
              </w:rPr>
            </w:pPr>
          </w:p>
        </w:tc>
        <w:tc>
          <w:tcPr>
            <w:tcW w:w="1047" w:type="dxa"/>
            <w:tcBorders>
              <w:bottom w:val="nil"/>
            </w:tcBorders>
            <w:vAlign w:val="bottom"/>
          </w:tcPr>
          <w:p w14:paraId="0CDDF576" w14:textId="77777777" w:rsidR="00C56109" w:rsidRPr="00435197" w:rsidRDefault="00C05CD4" w:rsidP="00C44FBD">
            <w:pPr>
              <w:autoSpaceDE w:val="0"/>
              <w:autoSpaceDN w:val="0"/>
              <w:adjustRightInd w:val="0"/>
              <w:jc w:val="center"/>
              <w:rPr>
                <w:b/>
                <w:sz w:val="22"/>
                <w:szCs w:val="22"/>
              </w:rPr>
            </w:pPr>
          </w:p>
        </w:tc>
        <w:tc>
          <w:tcPr>
            <w:tcW w:w="1096" w:type="dxa"/>
            <w:tcBorders>
              <w:bottom w:val="nil"/>
            </w:tcBorders>
            <w:vAlign w:val="bottom"/>
          </w:tcPr>
          <w:p w14:paraId="3A1E76D3" w14:textId="77777777" w:rsidR="00C56109" w:rsidRPr="00435197" w:rsidRDefault="00C05CD4" w:rsidP="00C44FBD">
            <w:pPr>
              <w:autoSpaceDE w:val="0"/>
              <w:autoSpaceDN w:val="0"/>
              <w:adjustRightInd w:val="0"/>
              <w:jc w:val="center"/>
              <w:rPr>
                <w:b/>
                <w:sz w:val="22"/>
                <w:szCs w:val="22"/>
              </w:rPr>
            </w:pPr>
          </w:p>
        </w:tc>
        <w:tc>
          <w:tcPr>
            <w:tcW w:w="864" w:type="dxa"/>
            <w:gridSpan w:val="2"/>
            <w:tcBorders>
              <w:bottom w:val="nil"/>
            </w:tcBorders>
            <w:vAlign w:val="bottom"/>
          </w:tcPr>
          <w:p w14:paraId="3DC15704"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2016</w:t>
            </w:r>
          </w:p>
        </w:tc>
        <w:tc>
          <w:tcPr>
            <w:tcW w:w="1096" w:type="dxa"/>
            <w:tcBorders>
              <w:bottom w:val="nil"/>
            </w:tcBorders>
            <w:vAlign w:val="bottom"/>
          </w:tcPr>
          <w:p w14:paraId="3D34108A" w14:textId="77777777" w:rsidR="00C56109" w:rsidRPr="00435197" w:rsidRDefault="00C05CD4" w:rsidP="00C44FBD">
            <w:pPr>
              <w:autoSpaceDE w:val="0"/>
              <w:autoSpaceDN w:val="0"/>
              <w:adjustRightInd w:val="0"/>
              <w:jc w:val="center"/>
              <w:rPr>
                <w:b/>
                <w:sz w:val="22"/>
                <w:szCs w:val="22"/>
              </w:rPr>
            </w:pPr>
          </w:p>
        </w:tc>
        <w:tc>
          <w:tcPr>
            <w:tcW w:w="864" w:type="dxa"/>
            <w:gridSpan w:val="2"/>
            <w:tcBorders>
              <w:bottom w:val="nil"/>
            </w:tcBorders>
            <w:vAlign w:val="bottom"/>
          </w:tcPr>
          <w:p w14:paraId="116B610B"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2017</w:t>
            </w:r>
          </w:p>
        </w:tc>
        <w:tc>
          <w:tcPr>
            <w:tcW w:w="1096" w:type="dxa"/>
            <w:tcBorders>
              <w:bottom w:val="nil"/>
            </w:tcBorders>
            <w:vAlign w:val="bottom"/>
          </w:tcPr>
          <w:p w14:paraId="5F768D7B" w14:textId="77777777" w:rsidR="00C56109" w:rsidRPr="00435197" w:rsidRDefault="00C05CD4" w:rsidP="00C44FBD">
            <w:pPr>
              <w:autoSpaceDE w:val="0"/>
              <w:autoSpaceDN w:val="0"/>
              <w:adjustRightInd w:val="0"/>
              <w:jc w:val="center"/>
              <w:rPr>
                <w:b/>
                <w:sz w:val="22"/>
                <w:szCs w:val="22"/>
              </w:rPr>
            </w:pPr>
          </w:p>
        </w:tc>
        <w:tc>
          <w:tcPr>
            <w:tcW w:w="864" w:type="dxa"/>
            <w:gridSpan w:val="2"/>
            <w:tcBorders>
              <w:bottom w:val="nil"/>
            </w:tcBorders>
            <w:vAlign w:val="bottom"/>
          </w:tcPr>
          <w:p w14:paraId="621E8125" w14:textId="77777777" w:rsidR="00C56109" w:rsidRPr="00435197" w:rsidRDefault="00E5648D" w:rsidP="00C44FBD">
            <w:pPr>
              <w:autoSpaceDE w:val="0"/>
              <w:autoSpaceDN w:val="0"/>
              <w:adjustRightInd w:val="0"/>
              <w:jc w:val="center"/>
              <w:rPr>
                <w:b/>
                <w:sz w:val="22"/>
                <w:szCs w:val="22"/>
              </w:rPr>
            </w:pPr>
            <w:r>
              <w:rPr>
                <w:b/>
                <w:bCs/>
                <w:sz w:val="22"/>
                <w:szCs w:val="22"/>
                <w:lang w:val="es-ES" w:bidi="es-ES"/>
              </w:rPr>
              <w:t>Cambio de 2015 a 2018</w:t>
            </w:r>
          </w:p>
        </w:tc>
      </w:tr>
      <w:tr w:rsidR="006E61D7" w14:paraId="19E07684" w14:textId="77777777" w:rsidTr="00C44FBD">
        <w:trPr>
          <w:trHeight w:val="786"/>
          <w:jc w:val="center"/>
        </w:trPr>
        <w:tc>
          <w:tcPr>
            <w:tcW w:w="1304" w:type="dxa"/>
            <w:tcBorders>
              <w:top w:val="nil"/>
            </w:tcBorders>
            <w:vAlign w:val="bottom"/>
          </w:tcPr>
          <w:p w14:paraId="7F021BA1" w14:textId="77777777" w:rsidR="00C56109" w:rsidRPr="00435197" w:rsidRDefault="00E5648D" w:rsidP="00C44FBD">
            <w:pPr>
              <w:autoSpaceDE w:val="0"/>
              <w:autoSpaceDN w:val="0"/>
              <w:adjustRightInd w:val="0"/>
              <w:jc w:val="center"/>
              <w:rPr>
                <w:b/>
              </w:rPr>
            </w:pPr>
            <w:r w:rsidRPr="00435197">
              <w:rPr>
                <w:b/>
                <w:bCs/>
                <w:sz w:val="22"/>
                <w:szCs w:val="22"/>
                <w:lang w:val="es-ES" w:bidi="es-ES"/>
              </w:rPr>
              <w:t>Clase de cliente</w:t>
            </w:r>
          </w:p>
        </w:tc>
        <w:tc>
          <w:tcPr>
            <w:tcW w:w="1047" w:type="dxa"/>
            <w:tcBorders>
              <w:top w:val="nil"/>
            </w:tcBorders>
            <w:vAlign w:val="bottom"/>
          </w:tcPr>
          <w:p w14:paraId="0EEAE235" w14:textId="77777777" w:rsidR="00C56109" w:rsidRPr="00435197" w:rsidRDefault="00E5648D" w:rsidP="00C44FBD">
            <w:pPr>
              <w:autoSpaceDE w:val="0"/>
              <w:autoSpaceDN w:val="0"/>
              <w:adjustRightInd w:val="0"/>
              <w:jc w:val="center"/>
              <w:rPr>
                <w:b/>
              </w:rPr>
            </w:pPr>
            <w:r>
              <w:rPr>
                <w:b/>
                <w:bCs/>
                <w:sz w:val="22"/>
                <w:szCs w:val="22"/>
                <w:lang w:val="es-ES" w:bidi="es-ES"/>
              </w:rPr>
              <w:t>Tarifas actuales en vigor a partir del 2/1/2015</w:t>
            </w:r>
          </w:p>
        </w:tc>
        <w:tc>
          <w:tcPr>
            <w:tcW w:w="1096" w:type="dxa"/>
            <w:tcBorders>
              <w:top w:val="nil"/>
            </w:tcBorders>
            <w:vAlign w:val="bottom"/>
          </w:tcPr>
          <w:p w14:paraId="63F4C253"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3FCFD766" w14:textId="77777777" w:rsidR="00C56109" w:rsidRPr="00435197" w:rsidRDefault="00E5648D" w:rsidP="00C44FBD">
            <w:pPr>
              <w:autoSpaceDE w:val="0"/>
              <w:autoSpaceDN w:val="0"/>
              <w:adjustRightInd w:val="0"/>
              <w:jc w:val="center"/>
              <w:rPr>
                <w:b/>
              </w:rPr>
            </w:pPr>
            <w:r w:rsidRPr="00435197">
              <w:rPr>
                <w:b/>
                <w:bCs/>
                <w:sz w:val="22"/>
                <w:szCs w:val="22"/>
                <w:lang w:val="es-ES" w:bidi="es-ES"/>
              </w:rPr>
              <w:t>1/1/2016</w:t>
            </w:r>
          </w:p>
        </w:tc>
        <w:tc>
          <w:tcPr>
            <w:tcW w:w="864" w:type="dxa"/>
            <w:tcBorders>
              <w:top w:val="nil"/>
            </w:tcBorders>
            <w:vAlign w:val="bottom"/>
          </w:tcPr>
          <w:p w14:paraId="23873774" w14:textId="77777777" w:rsidR="00C56109" w:rsidRPr="00435197" w:rsidRDefault="00E5648D" w:rsidP="00C44FBD">
            <w:pPr>
              <w:autoSpaceDE w:val="0"/>
              <w:autoSpaceDN w:val="0"/>
              <w:adjustRightInd w:val="0"/>
              <w:jc w:val="center"/>
              <w:rPr>
                <w:b/>
              </w:rPr>
            </w:pPr>
            <w:r>
              <w:rPr>
                <w:b/>
                <w:sz w:val="22"/>
                <w:szCs w:val="22"/>
              </w:rPr>
              <w:t>$</w:t>
            </w:r>
          </w:p>
        </w:tc>
        <w:tc>
          <w:tcPr>
            <w:tcW w:w="1008" w:type="dxa"/>
            <w:tcBorders>
              <w:top w:val="nil"/>
            </w:tcBorders>
            <w:vAlign w:val="bottom"/>
          </w:tcPr>
          <w:p w14:paraId="156716FD" w14:textId="77777777" w:rsidR="00C56109" w:rsidRPr="00435197" w:rsidRDefault="00E5648D" w:rsidP="00C44FBD">
            <w:pPr>
              <w:autoSpaceDE w:val="0"/>
              <w:autoSpaceDN w:val="0"/>
              <w:adjustRightInd w:val="0"/>
              <w:jc w:val="center"/>
              <w:rPr>
                <w:b/>
              </w:rPr>
            </w:pPr>
            <w:r>
              <w:rPr>
                <w:b/>
                <w:sz w:val="22"/>
                <w:szCs w:val="22"/>
              </w:rPr>
              <w:t>%</w:t>
            </w:r>
          </w:p>
        </w:tc>
        <w:tc>
          <w:tcPr>
            <w:tcW w:w="1096" w:type="dxa"/>
            <w:tcBorders>
              <w:top w:val="nil"/>
            </w:tcBorders>
            <w:vAlign w:val="bottom"/>
          </w:tcPr>
          <w:p w14:paraId="2EE9A414" w14:textId="77777777" w:rsidR="00C56109" w:rsidRDefault="00E5648D" w:rsidP="00C44FBD">
            <w:pPr>
              <w:tabs>
                <w:tab w:val="left" w:pos="508"/>
                <w:tab w:val="left" w:pos="818"/>
              </w:tabs>
              <w:autoSpaceDE w:val="0"/>
              <w:autoSpaceDN w:val="0"/>
              <w:adjustRightInd w:val="0"/>
              <w:jc w:val="center"/>
              <w:rPr>
                <w:b/>
                <w:sz w:val="22"/>
                <w:szCs w:val="22"/>
              </w:rPr>
            </w:pPr>
            <w:r w:rsidRPr="00435197">
              <w:rPr>
                <w:b/>
                <w:bCs/>
                <w:sz w:val="22"/>
                <w:szCs w:val="22"/>
                <w:lang w:val="es-ES" w:bidi="es-ES"/>
              </w:rPr>
              <w:t xml:space="preserve">Tarifas propuestas  </w:t>
            </w:r>
          </w:p>
          <w:p w14:paraId="544867A2"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1/1/2017</w:t>
            </w:r>
          </w:p>
        </w:tc>
        <w:tc>
          <w:tcPr>
            <w:tcW w:w="864" w:type="dxa"/>
            <w:tcBorders>
              <w:top w:val="nil"/>
            </w:tcBorders>
            <w:vAlign w:val="bottom"/>
          </w:tcPr>
          <w:p w14:paraId="78BC9FEB" w14:textId="77777777" w:rsidR="00C56109"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774FF40D" w14:textId="77777777" w:rsidR="00C56109" w:rsidRDefault="00E5648D" w:rsidP="00C44FBD">
            <w:pPr>
              <w:autoSpaceDE w:val="0"/>
              <w:autoSpaceDN w:val="0"/>
              <w:adjustRightInd w:val="0"/>
              <w:jc w:val="center"/>
              <w:rPr>
                <w:b/>
                <w:sz w:val="22"/>
                <w:szCs w:val="22"/>
              </w:rPr>
            </w:pPr>
            <w:r>
              <w:rPr>
                <w:b/>
                <w:sz w:val="22"/>
                <w:szCs w:val="22"/>
              </w:rPr>
              <w:t>%</w:t>
            </w:r>
          </w:p>
        </w:tc>
        <w:tc>
          <w:tcPr>
            <w:tcW w:w="1096" w:type="dxa"/>
            <w:tcBorders>
              <w:top w:val="nil"/>
            </w:tcBorders>
            <w:vAlign w:val="bottom"/>
          </w:tcPr>
          <w:p w14:paraId="51529653"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685DD4E0" w14:textId="77777777" w:rsidR="00C56109" w:rsidRDefault="00E5648D" w:rsidP="00C44FBD">
            <w:pPr>
              <w:autoSpaceDE w:val="0"/>
              <w:autoSpaceDN w:val="0"/>
              <w:adjustRightInd w:val="0"/>
              <w:jc w:val="center"/>
              <w:rPr>
                <w:b/>
                <w:sz w:val="22"/>
                <w:szCs w:val="22"/>
              </w:rPr>
            </w:pPr>
            <w:r w:rsidRPr="00435197">
              <w:rPr>
                <w:b/>
                <w:bCs/>
                <w:sz w:val="22"/>
                <w:szCs w:val="22"/>
                <w:lang w:val="es-ES" w:bidi="es-ES"/>
              </w:rPr>
              <w:t>1/1/2018</w:t>
            </w:r>
          </w:p>
        </w:tc>
        <w:tc>
          <w:tcPr>
            <w:tcW w:w="864" w:type="dxa"/>
            <w:tcBorders>
              <w:top w:val="nil"/>
            </w:tcBorders>
            <w:vAlign w:val="bottom"/>
          </w:tcPr>
          <w:p w14:paraId="72BC96B3" w14:textId="77777777" w:rsidR="00C56109"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47EE3E7F" w14:textId="77777777" w:rsidR="00C56109" w:rsidRDefault="00E5648D" w:rsidP="00C44FBD">
            <w:pPr>
              <w:autoSpaceDE w:val="0"/>
              <w:autoSpaceDN w:val="0"/>
              <w:adjustRightInd w:val="0"/>
              <w:jc w:val="center"/>
              <w:rPr>
                <w:b/>
                <w:sz w:val="22"/>
                <w:szCs w:val="22"/>
              </w:rPr>
            </w:pPr>
            <w:r>
              <w:rPr>
                <w:b/>
                <w:sz w:val="22"/>
                <w:szCs w:val="22"/>
              </w:rPr>
              <w:t>%</w:t>
            </w:r>
          </w:p>
        </w:tc>
      </w:tr>
      <w:tr w:rsidR="006E61D7" w14:paraId="4D1B6B60" w14:textId="77777777" w:rsidTr="00C44FBD">
        <w:trPr>
          <w:trHeight w:val="278"/>
          <w:jc w:val="center"/>
        </w:trPr>
        <w:tc>
          <w:tcPr>
            <w:tcW w:w="1304" w:type="dxa"/>
          </w:tcPr>
          <w:p w14:paraId="532F5A67" w14:textId="77777777" w:rsidR="00C56109" w:rsidRPr="00435197" w:rsidRDefault="00C05CD4" w:rsidP="00C44FBD">
            <w:pPr>
              <w:autoSpaceDE w:val="0"/>
              <w:autoSpaceDN w:val="0"/>
              <w:adjustRightInd w:val="0"/>
              <w:jc w:val="center"/>
            </w:pPr>
          </w:p>
        </w:tc>
        <w:tc>
          <w:tcPr>
            <w:tcW w:w="1047" w:type="dxa"/>
          </w:tcPr>
          <w:p w14:paraId="5AAC00F3" w14:textId="77777777" w:rsidR="00C56109" w:rsidRPr="00435197" w:rsidRDefault="00C05CD4" w:rsidP="00C44FBD">
            <w:pPr>
              <w:autoSpaceDE w:val="0"/>
              <w:autoSpaceDN w:val="0"/>
              <w:adjustRightInd w:val="0"/>
              <w:jc w:val="both"/>
            </w:pPr>
          </w:p>
        </w:tc>
        <w:tc>
          <w:tcPr>
            <w:tcW w:w="1096" w:type="dxa"/>
          </w:tcPr>
          <w:p w14:paraId="13AD5AD3" w14:textId="77777777" w:rsidR="00C56109" w:rsidRPr="00435197" w:rsidRDefault="00C05CD4" w:rsidP="00C44FBD">
            <w:pPr>
              <w:autoSpaceDE w:val="0"/>
              <w:autoSpaceDN w:val="0"/>
              <w:adjustRightInd w:val="0"/>
              <w:jc w:val="both"/>
            </w:pPr>
          </w:p>
        </w:tc>
        <w:tc>
          <w:tcPr>
            <w:tcW w:w="864" w:type="dxa"/>
          </w:tcPr>
          <w:p w14:paraId="7C81FD62" w14:textId="77777777" w:rsidR="00C56109" w:rsidRPr="00435197" w:rsidRDefault="00C05CD4" w:rsidP="00C44FBD">
            <w:pPr>
              <w:autoSpaceDE w:val="0"/>
              <w:autoSpaceDN w:val="0"/>
              <w:adjustRightInd w:val="0"/>
              <w:jc w:val="both"/>
            </w:pPr>
          </w:p>
        </w:tc>
        <w:tc>
          <w:tcPr>
            <w:tcW w:w="1008" w:type="dxa"/>
          </w:tcPr>
          <w:p w14:paraId="21E2834D" w14:textId="77777777" w:rsidR="00C56109" w:rsidRPr="00435197" w:rsidRDefault="00C05CD4" w:rsidP="00C44FBD">
            <w:pPr>
              <w:autoSpaceDE w:val="0"/>
              <w:autoSpaceDN w:val="0"/>
              <w:adjustRightInd w:val="0"/>
              <w:jc w:val="both"/>
            </w:pPr>
          </w:p>
        </w:tc>
        <w:tc>
          <w:tcPr>
            <w:tcW w:w="1096" w:type="dxa"/>
          </w:tcPr>
          <w:p w14:paraId="09D3EDA1" w14:textId="77777777" w:rsidR="00C56109" w:rsidRPr="00435197" w:rsidRDefault="00C05CD4" w:rsidP="00C44FBD">
            <w:pPr>
              <w:autoSpaceDE w:val="0"/>
              <w:autoSpaceDN w:val="0"/>
              <w:adjustRightInd w:val="0"/>
              <w:jc w:val="both"/>
            </w:pPr>
          </w:p>
        </w:tc>
        <w:tc>
          <w:tcPr>
            <w:tcW w:w="864" w:type="dxa"/>
          </w:tcPr>
          <w:p w14:paraId="224FE5FF" w14:textId="77777777" w:rsidR="00C56109" w:rsidRPr="00435197" w:rsidRDefault="00C05CD4" w:rsidP="00C44FBD">
            <w:pPr>
              <w:autoSpaceDE w:val="0"/>
              <w:autoSpaceDN w:val="0"/>
              <w:adjustRightInd w:val="0"/>
              <w:jc w:val="both"/>
            </w:pPr>
          </w:p>
        </w:tc>
        <w:tc>
          <w:tcPr>
            <w:tcW w:w="956" w:type="dxa"/>
          </w:tcPr>
          <w:p w14:paraId="6E373D6D" w14:textId="77777777" w:rsidR="00C56109" w:rsidRPr="00435197" w:rsidRDefault="00C05CD4" w:rsidP="00C44FBD">
            <w:pPr>
              <w:autoSpaceDE w:val="0"/>
              <w:autoSpaceDN w:val="0"/>
              <w:adjustRightInd w:val="0"/>
              <w:jc w:val="both"/>
            </w:pPr>
          </w:p>
        </w:tc>
        <w:tc>
          <w:tcPr>
            <w:tcW w:w="1096" w:type="dxa"/>
          </w:tcPr>
          <w:p w14:paraId="583C7DF9" w14:textId="77777777" w:rsidR="00C56109" w:rsidRPr="00435197" w:rsidRDefault="00C05CD4" w:rsidP="00C44FBD">
            <w:pPr>
              <w:autoSpaceDE w:val="0"/>
              <w:autoSpaceDN w:val="0"/>
              <w:adjustRightInd w:val="0"/>
              <w:jc w:val="both"/>
            </w:pPr>
          </w:p>
        </w:tc>
        <w:tc>
          <w:tcPr>
            <w:tcW w:w="864" w:type="dxa"/>
          </w:tcPr>
          <w:p w14:paraId="23B9B192" w14:textId="77777777" w:rsidR="00C56109" w:rsidRPr="00435197" w:rsidRDefault="00C05CD4" w:rsidP="00C44FBD">
            <w:pPr>
              <w:autoSpaceDE w:val="0"/>
              <w:autoSpaceDN w:val="0"/>
              <w:adjustRightInd w:val="0"/>
              <w:jc w:val="both"/>
            </w:pPr>
          </w:p>
        </w:tc>
        <w:tc>
          <w:tcPr>
            <w:tcW w:w="956" w:type="dxa"/>
          </w:tcPr>
          <w:p w14:paraId="25DDE809" w14:textId="77777777" w:rsidR="00C56109" w:rsidRPr="00435197" w:rsidRDefault="00C05CD4" w:rsidP="00C44FBD">
            <w:pPr>
              <w:autoSpaceDE w:val="0"/>
              <w:autoSpaceDN w:val="0"/>
              <w:adjustRightInd w:val="0"/>
              <w:jc w:val="both"/>
            </w:pPr>
          </w:p>
        </w:tc>
      </w:tr>
      <w:tr w:rsidR="006E61D7" w14:paraId="13CC18BE" w14:textId="77777777" w:rsidTr="00D52A80">
        <w:trPr>
          <w:trHeight w:val="247"/>
          <w:jc w:val="center"/>
        </w:trPr>
        <w:tc>
          <w:tcPr>
            <w:tcW w:w="1304" w:type="dxa"/>
            <w:vAlign w:val="center"/>
          </w:tcPr>
          <w:p w14:paraId="2FF30E01" w14:textId="77777777" w:rsidR="00C56109" w:rsidRPr="00D11F89" w:rsidRDefault="00E5648D" w:rsidP="00B47B24">
            <w:pPr>
              <w:autoSpaceDE w:val="0"/>
              <w:autoSpaceDN w:val="0"/>
              <w:adjustRightInd w:val="0"/>
              <w:jc w:val="center"/>
            </w:pPr>
            <w:r w:rsidRPr="00D11F89">
              <w:rPr>
                <w:sz w:val="22"/>
                <w:szCs w:val="22"/>
                <w:lang w:val="es-ES" w:bidi="es-ES"/>
              </w:rPr>
              <w:t>Residencial</w:t>
            </w:r>
          </w:p>
        </w:tc>
        <w:tc>
          <w:tcPr>
            <w:tcW w:w="1047" w:type="dxa"/>
            <w:vAlign w:val="center"/>
          </w:tcPr>
          <w:p w14:paraId="1A6D04D2" w14:textId="77777777" w:rsidR="00C56109" w:rsidRPr="00D11F89" w:rsidRDefault="00E5648D" w:rsidP="00B47B24">
            <w:pPr>
              <w:autoSpaceDE w:val="0"/>
              <w:autoSpaceDN w:val="0"/>
              <w:adjustRightInd w:val="0"/>
              <w:jc w:val="center"/>
            </w:pPr>
            <w:r w:rsidRPr="00D11F89">
              <w:rPr>
                <w:lang w:val="es-ES" w:bidi="es-ES"/>
              </w:rPr>
              <w:t>22.012</w:t>
            </w:r>
          </w:p>
        </w:tc>
        <w:tc>
          <w:tcPr>
            <w:tcW w:w="1096" w:type="dxa"/>
            <w:vAlign w:val="center"/>
          </w:tcPr>
          <w:p w14:paraId="635EB890" w14:textId="77777777" w:rsidR="00C56109" w:rsidRPr="00D11F89" w:rsidRDefault="00E5648D" w:rsidP="00B47B24">
            <w:pPr>
              <w:autoSpaceDE w:val="0"/>
              <w:autoSpaceDN w:val="0"/>
              <w:adjustRightInd w:val="0"/>
              <w:jc w:val="center"/>
            </w:pPr>
            <w:r w:rsidRPr="00D11F89">
              <w:rPr>
                <w:lang w:val="es-ES" w:bidi="es-ES"/>
              </w:rPr>
              <w:t>21.724</w:t>
            </w:r>
          </w:p>
        </w:tc>
        <w:tc>
          <w:tcPr>
            <w:tcW w:w="864" w:type="dxa"/>
            <w:vAlign w:val="center"/>
          </w:tcPr>
          <w:p w14:paraId="43DB6911" w14:textId="77777777" w:rsidR="00C56109" w:rsidRPr="00D11F89" w:rsidRDefault="00E5648D" w:rsidP="00B47B24">
            <w:pPr>
              <w:autoSpaceDE w:val="0"/>
              <w:autoSpaceDN w:val="0"/>
              <w:adjustRightInd w:val="0"/>
              <w:jc w:val="center"/>
            </w:pPr>
            <w:r w:rsidRPr="00D11F89">
              <w:rPr>
                <w:lang w:val="es-ES" w:bidi="es-ES"/>
              </w:rPr>
              <w:t>-0.288</w:t>
            </w:r>
          </w:p>
        </w:tc>
        <w:tc>
          <w:tcPr>
            <w:tcW w:w="1008" w:type="dxa"/>
            <w:vAlign w:val="center"/>
          </w:tcPr>
          <w:p w14:paraId="535A9B93" w14:textId="77777777" w:rsidR="00C56109" w:rsidRPr="00D11F89" w:rsidRDefault="00E5648D" w:rsidP="00B47B24">
            <w:pPr>
              <w:autoSpaceDE w:val="0"/>
              <w:autoSpaceDN w:val="0"/>
              <w:adjustRightInd w:val="0"/>
              <w:jc w:val="center"/>
            </w:pPr>
            <w:r w:rsidRPr="00D11F89">
              <w:rPr>
                <w:lang w:val="es-ES" w:bidi="es-ES"/>
              </w:rPr>
              <w:t>-1.31%</w:t>
            </w:r>
          </w:p>
        </w:tc>
        <w:tc>
          <w:tcPr>
            <w:tcW w:w="1096" w:type="dxa"/>
            <w:vAlign w:val="center"/>
          </w:tcPr>
          <w:p w14:paraId="560F2D8B" w14:textId="77777777" w:rsidR="00C56109" w:rsidRPr="00D11F89" w:rsidRDefault="00E5648D" w:rsidP="00B47B24">
            <w:pPr>
              <w:autoSpaceDE w:val="0"/>
              <w:autoSpaceDN w:val="0"/>
              <w:adjustRightInd w:val="0"/>
              <w:jc w:val="center"/>
            </w:pPr>
            <w:r w:rsidRPr="00D11F89">
              <w:rPr>
                <w:lang w:val="es-ES" w:bidi="es-ES"/>
              </w:rPr>
              <w:t>21.997</w:t>
            </w:r>
          </w:p>
        </w:tc>
        <w:tc>
          <w:tcPr>
            <w:tcW w:w="864" w:type="dxa"/>
            <w:vAlign w:val="center"/>
          </w:tcPr>
          <w:p w14:paraId="1F5310DA" w14:textId="77777777" w:rsidR="00C56109" w:rsidRPr="00D11F89" w:rsidRDefault="00E5648D" w:rsidP="00B47B24">
            <w:pPr>
              <w:autoSpaceDE w:val="0"/>
              <w:autoSpaceDN w:val="0"/>
              <w:adjustRightInd w:val="0"/>
              <w:jc w:val="center"/>
            </w:pPr>
            <w:r w:rsidRPr="00D11F89">
              <w:rPr>
                <w:lang w:val="es-ES" w:bidi="es-ES"/>
              </w:rPr>
              <w:t>-0.015</w:t>
            </w:r>
          </w:p>
        </w:tc>
        <w:tc>
          <w:tcPr>
            <w:tcW w:w="956" w:type="dxa"/>
            <w:vAlign w:val="center"/>
          </w:tcPr>
          <w:p w14:paraId="50BA4F7D" w14:textId="77777777" w:rsidR="00C56109" w:rsidRPr="00D11F89" w:rsidRDefault="00E5648D" w:rsidP="00B47B24">
            <w:pPr>
              <w:autoSpaceDE w:val="0"/>
              <w:autoSpaceDN w:val="0"/>
              <w:adjustRightInd w:val="0"/>
              <w:jc w:val="center"/>
            </w:pPr>
            <w:r w:rsidRPr="00D11F89">
              <w:rPr>
                <w:lang w:val="es-ES" w:bidi="es-ES"/>
              </w:rPr>
              <w:t>-0.07%</w:t>
            </w:r>
          </w:p>
        </w:tc>
        <w:tc>
          <w:tcPr>
            <w:tcW w:w="1096" w:type="dxa"/>
            <w:vAlign w:val="center"/>
          </w:tcPr>
          <w:p w14:paraId="16885584" w14:textId="77777777" w:rsidR="00C56109" w:rsidRPr="00D11F89" w:rsidRDefault="00E5648D" w:rsidP="00B47B24">
            <w:pPr>
              <w:autoSpaceDE w:val="0"/>
              <w:autoSpaceDN w:val="0"/>
              <w:adjustRightInd w:val="0"/>
              <w:jc w:val="center"/>
            </w:pPr>
            <w:r w:rsidRPr="00D11F89">
              <w:rPr>
                <w:lang w:val="es-ES" w:bidi="es-ES"/>
              </w:rPr>
              <w:t>22.271</w:t>
            </w:r>
          </w:p>
        </w:tc>
        <w:tc>
          <w:tcPr>
            <w:tcW w:w="864" w:type="dxa"/>
            <w:vAlign w:val="center"/>
          </w:tcPr>
          <w:p w14:paraId="07455A09" w14:textId="77777777" w:rsidR="00C56109" w:rsidRPr="00D11F89" w:rsidRDefault="00E5648D" w:rsidP="00B47B24">
            <w:pPr>
              <w:autoSpaceDE w:val="0"/>
              <w:autoSpaceDN w:val="0"/>
              <w:adjustRightInd w:val="0"/>
              <w:jc w:val="center"/>
            </w:pPr>
            <w:r w:rsidRPr="00D11F89">
              <w:rPr>
                <w:lang w:val="es-ES" w:bidi="es-ES"/>
              </w:rPr>
              <w:t>0.259</w:t>
            </w:r>
          </w:p>
        </w:tc>
        <w:tc>
          <w:tcPr>
            <w:tcW w:w="956" w:type="dxa"/>
            <w:vAlign w:val="center"/>
          </w:tcPr>
          <w:p w14:paraId="0A9BBDC6" w14:textId="77777777" w:rsidR="00C56109" w:rsidRPr="00D11F89" w:rsidRDefault="00E5648D" w:rsidP="00B47B24">
            <w:pPr>
              <w:autoSpaceDE w:val="0"/>
              <w:autoSpaceDN w:val="0"/>
              <w:adjustRightInd w:val="0"/>
              <w:jc w:val="center"/>
            </w:pPr>
            <w:r w:rsidRPr="00D11F89">
              <w:rPr>
                <w:lang w:val="es-ES" w:bidi="es-ES"/>
              </w:rPr>
              <w:t>1.18%</w:t>
            </w:r>
          </w:p>
        </w:tc>
      </w:tr>
      <w:tr w:rsidR="006E61D7" w14:paraId="70FCDC16" w14:textId="77777777" w:rsidTr="00D52A80">
        <w:trPr>
          <w:trHeight w:val="263"/>
          <w:jc w:val="center"/>
        </w:trPr>
        <w:tc>
          <w:tcPr>
            <w:tcW w:w="1304" w:type="dxa"/>
            <w:vAlign w:val="center"/>
          </w:tcPr>
          <w:p w14:paraId="17DDF343" w14:textId="77777777" w:rsidR="00C56109" w:rsidRPr="00D11F89" w:rsidRDefault="00E5648D" w:rsidP="00B47B24">
            <w:pPr>
              <w:autoSpaceDE w:val="0"/>
              <w:autoSpaceDN w:val="0"/>
              <w:adjustRightInd w:val="0"/>
              <w:jc w:val="center"/>
            </w:pPr>
            <w:r w:rsidRPr="00D11F89">
              <w:rPr>
                <w:sz w:val="22"/>
                <w:szCs w:val="22"/>
                <w:lang w:val="es-ES" w:bidi="es-ES"/>
              </w:rPr>
              <w:t>Comercial pequeño</w:t>
            </w:r>
          </w:p>
        </w:tc>
        <w:tc>
          <w:tcPr>
            <w:tcW w:w="1047" w:type="dxa"/>
            <w:vAlign w:val="center"/>
          </w:tcPr>
          <w:p w14:paraId="38CA1AB2" w14:textId="77777777" w:rsidR="00C56109" w:rsidRPr="00D11F89" w:rsidRDefault="00E5648D" w:rsidP="00B47B24">
            <w:pPr>
              <w:autoSpaceDE w:val="0"/>
              <w:autoSpaceDN w:val="0"/>
              <w:adjustRightInd w:val="0"/>
              <w:jc w:val="center"/>
            </w:pPr>
            <w:r w:rsidRPr="00D11F89">
              <w:rPr>
                <w:lang w:val="es-ES" w:bidi="es-ES"/>
              </w:rPr>
              <w:t>24.393</w:t>
            </w:r>
          </w:p>
        </w:tc>
        <w:tc>
          <w:tcPr>
            <w:tcW w:w="1096" w:type="dxa"/>
            <w:vAlign w:val="center"/>
          </w:tcPr>
          <w:p w14:paraId="3C6EF1D6" w14:textId="77777777" w:rsidR="00C56109" w:rsidRPr="00D11F89" w:rsidRDefault="00E5648D" w:rsidP="00B47B24">
            <w:pPr>
              <w:autoSpaceDE w:val="0"/>
              <w:autoSpaceDN w:val="0"/>
              <w:adjustRightInd w:val="0"/>
              <w:jc w:val="center"/>
            </w:pPr>
            <w:r w:rsidRPr="00D11F89">
              <w:rPr>
                <w:lang w:val="es-ES" w:bidi="es-ES"/>
              </w:rPr>
              <w:t>24.029</w:t>
            </w:r>
          </w:p>
        </w:tc>
        <w:tc>
          <w:tcPr>
            <w:tcW w:w="864" w:type="dxa"/>
            <w:vAlign w:val="center"/>
          </w:tcPr>
          <w:p w14:paraId="07406A0D" w14:textId="77777777" w:rsidR="00C56109" w:rsidRPr="00D11F89" w:rsidRDefault="00E5648D" w:rsidP="00B47B24">
            <w:pPr>
              <w:autoSpaceDE w:val="0"/>
              <w:autoSpaceDN w:val="0"/>
              <w:adjustRightInd w:val="0"/>
              <w:jc w:val="center"/>
            </w:pPr>
            <w:r w:rsidRPr="00D11F89">
              <w:rPr>
                <w:lang w:val="es-ES" w:bidi="es-ES"/>
              </w:rPr>
              <w:t>-0.364</w:t>
            </w:r>
          </w:p>
        </w:tc>
        <w:tc>
          <w:tcPr>
            <w:tcW w:w="1008" w:type="dxa"/>
            <w:vAlign w:val="center"/>
          </w:tcPr>
          <w:p w14:paraId="4D3116E4" w14:textId="77777777" w:rsidR="00C56109" w:rsidRPr="00D11F89" w:rsidRDefault="00E5648D" w:rsidP="00B47B24">
            <w:pPr>
              <w:autoSpaceDE w:val="0"/>
              <w:autoSpaceDN w:val="0"/>
              <w:adjustRightInd w:val="0"/>
              <w:jc w:val="center"/>
            </w:pPr>
            <w:r w:rsidRPr="00D11F89">
              <w:rPr>
                <w:lang w:val="es-ES" w:bidi="es-ES"/>
              </w:rPr>
              <w:t>-1.49%</w:t>
            </w:r>
          </w:p>
        </w:tc>
        <w:tc>
          <w:tcPr>
            <w:tcW w:w="1096" w:type="dxa"/>
            <w:vAlign w:val="center"/>
          </w:tcPr>
          <w:p w14:paraId="6F47FC12" w14:textId="77777777" w:rsidR="00C56109" w:rsidRPr="00D11F89" w:rsidRDefault="00E5648D" w:rsidP="00B47B24">
            <w:pPr>
              <w:autoSpaceDE w:val="0"/>
              <w:autoSpaceDN w:val="0"/>
              <w:adjustRightInd w:val="0"/>
              <w:jc w:val="center"/>
            </w:pPr>
            <w:r w:rsidRPr="00D11F89">
              <w:rPr>
                <w:lang w:val="es-ES" w:bidi="es-ES"/>
              </w:rPr>
              <w:t>24.011</w:t>
            </w:r>
          </w:p>
        </w:tc>
        <w:tc>
          <w:tcPr>
            <w:tcW w:w="864" w:type="dxa"/>
            <w:vAlign w:val="center"/>
          </w:tcPr>
          <w:p w14:paraId="379E372D" w14:textId="77777777" w:rsidR="00C56109" w:rsidRPr="00D11F89" w:rsidRDefault="00E5648D" w:rsidP="00B47B24">
            <w:pPr>
              <w:autoSpaceDE w:val="0"/>
              <w:autoSpaceDN w:val="0"/>
              <w:adjustRightInd w:val="0"/>
              <w:jc w:val="center"/>
            </w:pPr>
            <w:r w:rsidRPr="00D11F89">
              <w:rPr>
                <w:lang w:val="es-ES" w:bidi="es-ES"/>
              </w:rPr>
              <w:t>-0.382</w:t>
            </w:r>
          </w:p>
        </w:tc>
        <w:tc>
          <w:tcPr>
            <w:tcW w:w="956" w:type="dxa"/>
            <w:vAlign w:val="center"/>
          </w:tcPr>
          <w:p w14:paraId="4BB77DE8" w14:textId="77777777" w:rsidR="00C56109" w:rsidRPr="00D11F89" w:rsidRDefault="00E5648D" w:rsidP="00B47B24">
            <w:pPr>
              <w:autoSpaceDE w:val="0"/>
              <w:autoSpaceDN w:val="0"/>
              <w:adjustRightInd w:val="0"/>
              <w:jc w:val="center"/>
            </w:pPr>
            <w:r w:rsidRPr="00D11F89">
              <w:rPr>
                <w:lang w:val="es-ES" w:bidi="es-ES"/>
              </w:rPr>
              <w:t>-1.57%</w:t>
            </w:r>
          </w:p>
        </w:tc>
        <w:tc>
          <w:tcPr>
            <w:tcW w:w="1096" w:type="dxa"/>
            <w:vAlign w:val="center"/>
          </w:tcPr>
          <w:p w14:paraId="59660ED6" w14:textId="77777777" w:rsidR="00C56109" w:rsidRPr="00D11F89" w:rsidRDefault="00E5648D" w:rsidP="00B47B24">
            <w:pPr>
              <w:autoSpaceDE w:val="0"/>
              <w:autoSpaceDN w:val="0"/>
              <w:adjustRightInd w:val="0"/>
              <w:jc w:val="center"/>
            </w:pPr>
            <w:r w:rsidRPr="00D11F89">
              <w:rPr>
                <w:lang w:val="es-ES" w:bidi="es-ES"/>
              </w:rPr>
              <w:t>23.993</w:t>
            </w:r>
          </w:p>
        </w:tc>
        <w:tc>
          <w:tcPr>
            <w:tcW w:w="864" w:type="dxa"/>
            <w:vAlign w:val="center"/>
          </w:tcPr>
          <w:p w14:paraId="3B54149D" w14:textId="77777777" w:rsidR="00C56109" w:rsidRPr="00D11F89" w:rsidRDefault="00E5648D" w:rsidP="00B47B24">
            <w:pPr>
              <w:autoSpaceDE w:val="0"/>
              <w:autoSpaceDN w:val="0"/>
              <w:adjustRightInd w:val="0"/>
              <w:jc w:val="center"/>
            </w:pPr>
            <w:r w:rsidRPr="00D11F89">
              <w:rPr>
                <w:lang w:val="es-ES" w:bidi="es-ES"/>
              </w:rPr>
              <w:t>-0.400</w:t>
            </w:r>
          </w:p>
        </w:tc>
        <w:tc>
          <w:tcPr>
            <w:tcW w:w="956" w:type="dxa"/>
            <w:vAlign w:val="center"/>
          </w:tcPr>
          <w:p w14:paraId="23A7A1F4" w14:textId="77777777" w:rsidR="00C56109" w:rsidRPr="00D11F89" w:rsidRDefault="00E5648D" w:rsidP="00B47B24">
            <w:pPr>
              <w:autoSpaceDE w:val="0"/>
              <w:autoSpaceDN w:val="0"/>
              <w:adjustRightInd w:val="0"/>
              <w:jc w:val="center"/>
            </w:pPr>
            <w:r w:rsidRPr="00D11F89">
              <w:rPr>
                <w:lang w:val="es-ES" w:bidi="es-ES"/>
              </w:rPr>
              <w:t>-1.64%</w:t>
            </w:r>
          </w:p>
        </w:tc>
      </w:tr>
      <w:tr w:rsidR="006E61D7" w14:paraId="79BE9132" w14:textId="77777777" w:rsidTr="00D52A80">
        <w:trPr>
          <w:trHeight w:val="508"/>
          <w:jc w:val="center"/>
        </w:trPr>
        <w:tc>
          <w:tcPr>
            <w:tcW w:w="1304" w:type="dxa"/>
            <w:vAlign w:val="center"/>
          </w:tcPr>
          <w:p w14:paraId="2F943F04" w14:textId="77777777" w:rsidR="00C56109" w:rsidRPr="00D11F89" w:rsidRDefault="00E5648D" w:rsidP="00B47B24">
            <w:pPr>
              <w:autoSpaceDE w:val="0"/>
              <w:autoSpaceDN w:val="0"/>
              <w:adjustRightInd w:val="0"/>
              <w:jc w:val="center"/>
            </w:pPr>
            <w:r w:rsidRPr="00D11F89">
              <w:rPr>
                <w:sz w:val="22"/>
                <w:szCs w:val="22"/>
                <w:lang w:val="es-ES" w:bidi="es-ES"/>
              </w:rPr>
              <w:t>Comercial e industrial mediano y grande</w:t>
            </w:r>
          </w:p>
        </w:tc>
        <w:tc>
          <w:tcPr>
            <w:tcW w:w="1047" w:type="dxa"/>
            <w:vAlign w:val="center"/>
          </w:tcPr>
          <w:p w14:paraId="65423C37" w14:textId="77777777" w:rsidR="00C56109" w:rsidRPr="00D11F89" w:rsidRDefault="00E5648D" w:rsidP="00B47B24">
            <w:pPr>
              <w:autoSpaceDE w:val="0"/>
              <w:autoSpaceDN w:val="0"/>
              <w:adjustRightInd w:val="0"/>
              <w:jc w:val="center"/>
            </w:pPr>
            <w:r w:rsidRPr="00D11F89">
              <w:rPr>
                <w:lang w:val="es-ES" w:bidi="es-ES"/>
              </w:rPr>
              <w:t>19.453</w:t>
            </w:r>
          </w:p>
        </w:tc>
        <w:tc>
          <w:tcPr>
            <w:tcW w:w="1096" w:type="dxa"/>
            <w:vAlign w:val="center"/>
          </w:tcPr>
          <w:p w14:paraId="390CF9ED" w14:textId="77777777" w:rsidR="00C56109" w:rsidRPr="00D11F89" w:rsidRDefault="00E5648D" w:rsidP="00B47B24">
            <w:pPr>
              <w:autoSpaceDE w:val="0"/>
              <w:autoSpaceDN w:val="0"/>
              <w:adjustRightInd w:val="0"/>
              <w:jc w:val="center"/>
            </w:pPr>
            <w:r w:rsidRPr="00D11F89">
              <w:rPr>
                <w:lang w:val="es-ES" w:bidi="es-ES"/>
              </w:rPr>
              <w:t>21.325</w:t>
            </w:r>
          </w:p>
        </w:tc>
        <w:tc>
          <w:tcPr>
            <w:tcW w:w="864" w:type="dxa"/>
            <w:vAlign w:val="center"/>
          </w:tcPr>
          <w:p w14:paraId="41DCBACF" w14:textId="77777777" w:rsidR="00C56109" w:rsidRPr="00D11F89" w:rsidRDefault="00E5648D" w:rsidP="00B47B24">
            <w:pPr>
              <w:autoSpaceDE w:val="0"/>
              <w:autoSpaceDN w:val="0"/>
              <w:adjustRightInd w:val="0"/>
              <w:jc w:val="center"/>
            </w:pPr>
            <w:r w:rsidRPr="00D11F89">
              <w:rPr>
                <w:lang w:val="es-ES" w:bidi="es-ES"/>
              </w:rPr>
              <w:t>1.872</w:t>
            </w:r>
          </w:p>
        </w:tc>
        <w:tc>
          <w:tcPr>
            <w:tcW w:w="1008" w:type="dxa"/>
            <w:vAlign w:val="center"/>
          </w:tcPr>
          <w:p w14:paraId="4BF77C80" w14:textId="77777777" w:rsidR="00C56109" w:rsidRPr="00D11F89" w:rsidRDefault="00E5648D" w:rsidP="00B47B24">
            <w:pPr>
              <w:autoSpaceDE w:val="0"/>
              <w:autoSpaceDN w:val="0"/>
              <w:adjustRightInd w:val="0"/>
              <w:jc w:val="center"/>
            </w:pPr>
            <w:r w:rsidRPr="00D11F89">
              <w:rPr>
                <w:lang w:val="es-ES" w:bidi="es-ES"/>
              </w:rPr>
              <w:t>9.62%</w:t>
            </w:r>
          </w:p>
        </w:tc>
        <w:tc>
          <w:tcPr>
            <w:tcW w:w="1096" w:type="dxa"/>
            <w:vAlign w:val="center"/>
          </w:tcPr>
          <w:p w14:paraId="70702A84" w14:textId="77777777" w:rsidR="00C56109" w:rsidRPr="00D11F89" w:rsidRDefault="00E5648D" w:rsidP="00B47B24">
            <w:pPr>
              <w:autoSpaceDE w:val="0"/>
              <w:autoSpaceDN w:val="0"/>
              <w:adjustRightInd w:val="0"/>
              <w:jc w:val="center"/>
            </w:pPr>
            <w:r w:rsidRPr="00D11F89">
              <w:rPr>
                <w:lang w:val="es-ES" w:bidi="es-ES"/>
              </w:rPr>
              <w:t>21.135</w:t>
            </w:r>
          </w:p>
        </w:tc>
        <w:tc>
          <w:tcPr>
            <w:tcW w:w="864" w:type="dxa"/>
            <w:vAlign w:val="center"/>
          </w:tcPr>
          <w:p w14:paraId="1A1BF900" w14:textId="77777777" w:rsidR="00C56109" w:rsidRPr="00D11F89" w:rsidRDefault="00E5648D" w:rsidP="00B47B24">
            <w:pPr>
              <w:autoSpaceDE w:val="0"/>
              <w:autoSpaceDN w:val="0"/>
              <w:adjustRightInd w:val="0"/>
              <w:jc w:val="center"/>
            </w:pPr>
            <w:r w:rsidRPr="00D11F89">
              <w:rPr>
                <w:lang w:val="es-ES" w:bidi="es-ES"/>
              </w:rPr>
              <w:t>1.682</w:t>
            </w:r>
          </w:p>
        </w:tc>
        <w:tc>
          <w:tcPr>
            <w:tcW w:w="956" w:type="dxa"/>
            <w:vAlign w:val="center"/>
          </w:tcPr>
          <w:p w14:paraId="3E2C2FF8" w14:textId="77777777" w:rsidR="00C56109" w:rsidRPr="00D11F89" w:rsidRDefault="00E5648D" w:rsidP="00B47B24">
            <w:pPr>
              <w:autoSpaceDE w:val="0"/>
              <w:autoSpaceDN w:val="0"/>
              <w:adjustRightInd w:val="0"/>
              <w:jc w:val="center"/>
            </w:pPr>
            <w:r w:rsidRPr="00D11F89">
              <w:rPr>
                <w:lang w:val="es-ES" w:bidi="es-ES"/>
              </w:rPr>
              <w:t>8.65%</w:t>
            </w:r>
          </w:p>
        </w:tc>
        <w:tc>
          <w:tcPr>
            <w:tcW w:w="1096" w:type="dxa"/>
            <w:vAlign w:val="center"/>
          </w:tcPr>
          <w:p w14:paraId="4039150F" w14:textId="77777777" w:rsidR="00C56109" w:rsidRPr="00D11F89" w:rsidRDefault="00E5648D" w:rsidP="00B47B24">
            <w:pPr>
              <w:autoSpaceDE w:val="0"/>
              <w:autoSpaceDN w:val="0"/>
              <w:adjustRightInd w:val="0"/>
              <w:jc w:val="center"/>
            </w:pPr>
            <w:r w:rsidRPr="00D11F89">
              <w:rPr>
                <w:lang w:val="es-ES" w:bidi="es-ES"/>
              </w:rPr>
              <w:t>20.944</w:t>
            </w:r>
          </w:p>
        </w:tc>
        <w:tc>
          <w:tcPr>
            <w:tcW w:w="864" w:type="dxa"/>
            <w:vAlign w:val="center"/>
          </w:tcPr>
          <w:p w14:paraId="68E9C3BA" w14:textId="77777777" w:rsidR="00C56109" w:rsidRPr="00D11F89" w:rsidRDefault="00E5648D" w:rsidP="00B47B24">
            <w:pPr>
              <w:autoSpaceDE w:val="0"/>
              <w:autoSpaceDN w:val="0"/>
              <w:adjustRightInd w:val="0"/>
              <w:jc w:val="center"/>
            </w:pPr>
            <w:r w:rsidRPr="00D11F89">
              <w:rPr>
                <w:lang w:val="es-ES" w:bidi="es-ES"/>
              </w:rPr>
              <w:t>1.491</w:t>
            </w:r>
          </w:p>
        </w:tc>
        <w:tc>
          <w:tcPr>
            <w:tcW w:w="956" w:type="dxa"/>
            <w:vAlign w:val="center"/>
          </w:tcPr>
          <w:p w14:paraId="6B06AA42" w14:textId="77777777" w:rsidR="00C56109" w:rsidRPr="00D11F89" w:rsidRDefault="00E5648D" w:rsidP="00B47B24">
            <w:pPr>
              <w:autoSpaceDE w:val="0"/>
              <w:autoSpaceDN w:val="0"/>
              <w:adjustRightInd w:val="0"/>
              <w:jc w:val="center"/>
            </w:pPr>
            <w:r w:rsidRPr="00D11F89">
              <w:rPr>
                <w:lang w:val="es-ES" w:bidi="es-ES"/>
              </w:rPr>
              <w:t>7.66%</w:t>
            </w:r>
          </w:p>
        </w:tc>
      </w:tr>
      <w:tr w:rsidR="006E61D7" w14:paraId="5088D624" w14:textId="77777777" w:rsidTr="00D52A80">
        <w:trPr>
          <w:trHeight w:val="263"/>
          <w:jc w:val="center"/>
        </w:trPr>
        <w:tc>
          <w:tcPr>
            <w:tcW w:w="1304" w:type="dxa"/>
            <w:vAlign w:val="center"/>
          </w:tcPr>
          <w:p w14:paraId="1ED528AC" w14:textId="77777777" w:rsidR="00C56109" w:rsidRPr="00D11F89" w:rsidRDefault="00E5648D" w:rsidP="00B47B24">
            <w:pPr>
              <w:autoSpaceDE w:val="0"/>
              <w:autoSpaceDN w:val="0"/>
              <w:adjustRightInd w:val="0"/>
              <w:jc w:val="center"/>
            </w:pPr>
            <w:r w:rsidRPr="00D11F89">
              <w:rPr>
                <w:sz w:val="22"/>
                <w:szCs w:val="22"/>
                <w:lang w:val="es-ES" w:bidi="es-ES"/>
              </w:rPr>
              <w:t>Agrícola</w:t>
            </w:r>
          </w:p>
        </w:tc>
        <w:tc>
          <w:tcPr>
            <w:tcW w:w="1047" w:type="dxa"/>
            <w:vAlign w:val="center"/>
          </w:tcPr>
          <w:p w14:paraId="72860B8C" w14:textId="77777777" w:rsidR="00C56109" w:rsidRPr="00D11F89" w:rsidRDefault="00E5648D" w:rsidP="00B47B24">
            <w:pPr>
              <w:autoSpaceDE w:val="0"/>
              <w:autoSpaceDN w:val="0"/>
              <w:adjustRightInd w:val="0"/>
              <w:jc w:val="center"/>
            </w:pPr>
            <w:r w:rsidRPr="00D11F89">
              <w:rPr>
                <w:lang w:val="es-ES" w:bidi="es-ES"/>
              </w:rPr>
              <w:t>17.558</w:t>
            </w:r>
          </w:p>
        </w:tc>
        <w:tc>
          <w:tcPr>
            <w:tcW w:w="1096" w:type="dxa"/>
            <w:vAlign w:val="center"/>
          </w:tcPr>
          <w:p w14:paraId="1B75FB7D" w14:textId="77777777" w:rsidR="00C56109" w:rsidRPr="00D11F89" w:rsidRDefault="00E5648D" w:rsidP="00B47B24">
            <w:pPr>
              <w:autoSpaceDE w:val="0"/>
              <w:autoSpaceDN w:val="0"/>
              <w:adjustRightInd w:val="0"/>
              <w:jc w:val="center"/>
            </w:pPr>
            <w:r w:rsidRPr="00D11F89">
              <w:rPr>
                <w:lang w:val="es-ES" w:bidi="es-ES"/>
              </w:rPr>
              <w:t>18.477</w:t>
            </w:r>
          </w:p>
        </w:tc>
        <w:tc>
          <w:tcPr>
            <w:tcW w:w="864" w:type="dxa"/>
            <w:vAlign w:val="center"/>
          </w:tcPr>
          <w:p w14:paraId="183DA72E" w14:textId="77777777" w:rsidR="00C56109" w:rsidRPr="00D11F89" w:rsidRDefault="00E5648D" w:rsidP="00B47B24">
            <w:pPr>
              <w:autoSpaceDE w:val="0"/>
              <w:autoSpaceDN w:val="0"/>
              <w:adjustRightInd w:val="0"/>
              <w:jc w:val="center"/>
            </w:pPr>
            <w:r w:rsidRPr="00D11F89">
              <w:rPr>
                <w:lang w:val="es-ES" w:bidi="es-ES"/>
              </w:rPr>
              <w:t>0.919</w:t>
            </w:r>
          </w:p>
        </w:tc>
        <w:tc>
          <w:tcPr>
            <w:tcW w:w="1008" w:type="dxa"/>
            <w:vAlign w:val="center"/>
          </w:tcPr>
          <w:p w14:paraId="10434F1A" w14:textId="77777777" w:rsidR="00C56109" w:rsidRPr="00D11F89" w:rsidRDefault="00E5648D" w:rsidP="00B47B24">
            <w:pPr>
              <w:autoSpaceDE w:val="0"/>
              <w:autoSpaceDN w:val="0"/>
              <w:adjustRightInd w:val="0"/>
              <w:jc w:val="center"/>
            </w:pPr>
            <w:r w:rsidRPr="00D11F89">
              <w:rPr>
                <w:lang w:val="es-ES" w:bidi="es-ES"/>
              </w:rPr>
              <w:t>5.23%</w:t>
            </w:r>
          </w:p>
        </w:tc>
        <w:tc>
          <w:tcPr>
            <w:tcW w:w="1096" w:type="dxa"/>
            <w:vAlign w:val="center"/>
          </w:tcPr>
          <w:p w14:paraId="013E658D" w14:textId="77777777" w:rsidR="00C56109" w:rsidRPr="00D11F89" w:rsidRDefault="00E5648D" w:rsidP="00B47B24">
            <w:pPr>
              <w:autoSpaceDE w:val="0"/>
              <w:autoSpaceDN w:val="0"/>
              <w:adjustRightInd w:val="0"/>
              <w:jc w:val="center"/>
            </w:pPr>
            <w:r w:rsidRPr="00D11F89">
              <w:rPr>
                <w:lang w:val="es-ES" w:bidi="es-ES"/>
              </w:rPr>
              <w:t>18.064</w:t>
            </w:r>
          </w:p>
        </w:tc>
        <w:tc>
          <w:tcPr>
            <w:tcW w:w="864" w:type="dxa"/>
            <w:vAlign w:val="center"/>
          </w:tcPr>
          <w:p w14:paraId="51CA822D" w14:textId="77777777" w:rsidR="00C56109" w:rsidRPr="00D11F89" w:rsidRDefault="00E5648D" w:rsidP="00B47B24">
            <w:pPr>
              <w:autoSpaceDE w:val="0"/>
              <w:autoSpaceDN w:val="0"/>
              <w:adjustRightInd w:val="0"/>
              <w:jc w:val="center"/>
            </w:pPr>
            <w:r w:rsidRPr="00D11F89">
              <w:rPr>
                <w:lang w:val="es-ES" w:bidi="es-ES"/>
              </w:rPr>
              <w:t>0.506</w:t>
            </w:r>
          </w:p>
        </w:tc>
        <w:tc>
          <w:tcPr>
            <w:tcW w:w="956" w:type="dxa"/>
            <w:vAlign w:val="center"/>
          </w:tcPr>
          <w:p w14:paraId="60F0DBC7" w14:textId="77777777" w:rsidR="00C56109" w:rsidRPr="00D11F89" w:rsidRDefault="00E5648D" w:rsidP="00B47B24">
            <w:pPr>
              <w:autoSpaceDE w:val="0"/>
              <w:autoSpaceDN w:val="0"/>
              <w:adjustRightInd w:val="0"/>
              <w:jc w:val="center"/>
            </w:pPr>
            <w:r w:rsidRPr="00D11F89">
              <w:rPr>
                <w:lang w:val="es-ES" w:bidi="es-ES"/>
              </w:rPr>
              <w:t>2.88%</w:t>
            </w:r>
          </w:p>
        </w:tc>
        <w:tc>
          <w:tcPr>
            <w:tcW w:w="1096" w:type="dxa"/>
            <w:vAlign w:val="center"/>
          </w:tcPr>
          <w:p w14:paraId="132C4806" w14:textId="77777777" w:rsidR="00C56109" w:rsidRPr="00D11F89" w:rsidRDefault="00E5648D" w:rsidP="00B47B24">
            <w:pPr>
              <w:autoSpaceDE w:val="0"/>
              <w:autoSpaceDN w:val="0"/>
              <w:adjustRightInd w:val="0"/>
              <w:jc w:val="center"/>
            </w:pPr>
            <w:r w:rsidRPr="00D11F89">
              <w:rPr>
                <w:lang w:val="es-ES" w:bidi="es-ES"/>
              </w:rPr>
              <w:t>17.652</w:t>
            </w:r>
          </w:p>
        </w:tc>
        <w:tc>
          <w:tcPr>
            <w:tcW w:w="864" w:type="dxa"/>
            <w:vAlign w:val="center"/>
          </w:tcPr>
          <w:p w14:paraId="24D3C2C8" w14:textId="77777777" w:rsidR="00C56109" w:rsidRPr="00D11F89" w:rsidRDefault="00E5648D" w:rsidP="00B47B24">
            <w:pPr>
              <w:autoSpaceDE w:val="0"/>
              <w:autoSpaceDN w:val="0"/>
              <w:adjustRightInd w:val="0"/>
              <w:jc w:val="center"/>
            </w:pPr>
            <w:r w:rsidRPr="00D11F89">
              <w:rPr>
                <w:lang w:val="es-ES" w:bidi="es-ES"/>
              </w:rPr>
              <w:t>0.094</w:t>
            </w:r>
          </w:p>
        </w:tc>
        <w:tc>
          <w:tcPr>
            <w:tcW w:w="956" w:type="dxa"/>
            <w:vAlign w:val="center"/>
          </w:tcPr>
          <w:p w14:paraId="6AE439C3" w14:textId="77777777" w:rsidR="00C56109" w:rsidRPr="00D11F89" w:rsidRDefault="00E5648D" w:rsidP="00B47B24">
            <w:pPr>
              <w:autoSpaceDE w:val="0"/>
              <w:autoSpaceDN w:val="0"/>
              <w:adjustRightInd w:val="0"/>
              <w:jc w:val="center"/>
            </w:pPr>
            <w:r w:rsidRPr="00D11F89">
              <w:rPr>
                <w:lang w:val="es-ES" w:bidi="es-ES"/>
              </w:rPr>
              <w:t>0.54%</w:t>
            </w:r>
          </w:p>
        </w:tc>
      </w:tr>
      <w:tr w:rsidR="006E61D7" w14:paraId="0BD5B8F0" w14:textId="77777777" w:rsidTr="00D52A80">
        <w:trPr>
          <w:trHeight w:val="247"/>
          <w:jc w:val="center"/>
        </w:trPr>
        <w:tc>
          <w:tcPr>
            <w:tcW w:w="1304" w:type="dxa"/>
            <w:vAlign w:val="center"/>
          </w:tcPr>
          <w:p w14:paraId="2C8BF6ED" w14:textId="77777777" w:rsidR="00C56109" w:rsidRPr="00D11F89" w:rsidRDefault="00E5648D" w:rsidP="00B47B24">
            <w:pPr>
              <w:autoSpaceDE w:val="0"/>
              <w:autoSpaceDN w:val="0"/>
              <w:adjustRightInd w:val="0"/>
              <w:jc w:val="center"/>
            </w:pPr>
            <w:r w:rsidRPr="00D11F89">
              <w:rPr>
                <w:sz w:val="22"/>
                <w:szCs w:val="22"/>
                <w:lang w:val="es-ES" w:bidi="es-ES"/>
              </w:rPr>
              <w:t>Iluminación</w:t>
            </w:r>
          </w:p>
        </w:tc>
        <w:tc>
          <w:tcPr>
            <w:tcW w:w="1047" w:type="dxa"/>
            <w:vAlign w:val="center"/>
          </w:tcPr>
          <w:p w14:paraId="108C9F64" w14:textId="77777777" w:rsidR="00C56109" w:rsidRPr="00D11F89" w:rsidRDefault="00E5648D" w:rsidP="00B47B24">
            <w:pPr>
              <w:autoSpaceDE w:val="0"/>
              <w:autoSpaceDN w:val="0"/>
              <w:adjustRightInd w:val="0"/>
              <w:jc w:val="center"/>
            </w:pPr>
            <w:r w:rsidRPr="00D11F89">
              <w:rPr>
                <w:lang w:val="es-ES" w:bidi="es-ES"/>
              </w:rPr>
              <w:t>18.016</w:t>
            </w:r>
          </w:p>
        </w:tc>
        <w:tc>
          <w:tcPr>
            <w:tcW w:w="1096" w:type="dxa"/>
            <w:vAlign w:val="center"/>
          </w:tcPr>
          <w:p w14:paraId="7DCB8921" w14:textId="77777777" w:rsidR="00C56109" w:rsidRPr="00D11F89" w:rsidRDefault="00E5648D" w:rsidP="00B47B24">
            <w:pPr>
              <w:autoSpaceDE w:val="0"/>
              <w:autoSpaceDN w:val="0"/>
              <w:adjustRightInd w:val="0"/>
              <w:jc w:val="center"/>
            </w:pPr>
            <w:r w:rsidRPr="00D11F89">
              <w:rPr>
                <w:lang w:val="es-ES" w:bidi="es-ES"/>
              </w:rPr>
              <w:t>21.334</w:t>
            </w:r>
          </w:p>
        </w:tc>
        <w:tc>
          <w:tcPr>
            <w:tcW w:w="864" w:type="dxa"/>
            <w:vAlign w:val="center"/>
          </w:tcPr>
          <w:p w14:paraId="0458B3F9" w14:textId="77777777" w:rsidR="00C56109" w:rsidRPr="00D11F89" w:rsidRDefault="00E5648D" w:rsidP="00B47B24">
            <w:pPr>
              <w:autoSpaceDE w:val="0"/>
              <w:autoSpaceDN w:val="0"/>
              <w:adjustRightInd w:val="0"/>
              <w:jc w:val="center"/>
            </w:pPr>
            <w:r w:rsidRPr="00D11F89">
              <w:rPr>
                <w:lang w:val="es-ES" w:bidi="es-ES"/>
              </w:rPr>
              <w:t>3.318</w:t>
            </w:r>
          </w:p>
        </w:tc>
        <w:tc>
          <w:tcPr>
            <w:tcW w:w="1008" w:type="dxa"/>
            <w:vAlign w:val="center"/>
          </w:tcPr>
          <w:p w14:paraId="59FD0A08" w14:textId="77777777" w:rsidR="00C56109" w:rsidRPr="00D11F89" w:rsidRDefault="00E5648D" w:rsidP="00B47B24">
            <w:pPr>
              <w:autoSpaceDE w:val="0"/>
              <w:autoSpaceDN w:val="0"/>
              <w:adjustRightInd w:val="0"/>
              <w:jc w:val="center"/>
            </w:pPr>
            <w:r w:rsidRPr="00D11F89">
              <w:rPr>
                <w:lang w:val="es-ES" w:bidi="es-ES"/>
              </w:rPr>
              <w:t>18.42%</w:t>
            </w:r>
          </w:p>
        </w:tc>
        <w:tc>
          <w:tcPr>
            <w:tcW w:w="1096" w:type="dxa"/>
            <w:vAlign w:val="center"/>
          </w:tcPr>
          <w:p w14:paraId="5B76C60C" w14:textId="77777777" w:rsidR="00C56109" w:rsidRPr="00D11F89" w:rsidRDefault="00E5648D" w:rsidP="00B47B24">
            <w:pPr>
              <w:autoSpaceDE w:val="0"/>
              <w:autoSpaceDN w:val="0"/>
              <w:adjustRightInd w:val="0"/>
              <w:jc w:val="center"/>
            </w:pPr>
            <w:r w:rsidRPr="00D11F89">
              <w:rPr>
                <w:lang w:val="es-ES" w:bidi="es-ES"/>
              </w:rPr>
              <w:t>21.128</w:t>
            </w:r>
          </w:p>
        </w:tc>
        <w:tc>
          <w:tcPr>
            <w:tcW w:w="864" w:type="dxa"/>
            <w:vAlign w:val="center"/>
          </w:tcPr>
          <w:p w14:paraId="76989ED6" w14:textId="77777777" w:rsidR="00C56109" w:rsidRPr="00D11F89" w:rsidRDefault="00E5648D" w:rsidP="00B47B24">
            <w:pPr>
              <w:autoSpaceDE w:val="0"/>
              <w:autoSpaceDN w:val="0"/>
              <w:adjustRightInd w:val="0"/>
              <w:jc w:val="center"/>
            </w:pPr>
            <w:r w:rsidRPr="00D11F89">
              <w:rPr>
                <w:lang w:val="es-ES" w:bidi="es-ES"/>
              </w:rPr>
              <w:t>3.112</w:t>
            </w:r>
          </w:p>
        </w:tc>
        <w:tc>
          <w:tcPr>
            <w:tcW w:w="956" w:type="dxa"/>
            <w:vAlign w:val="center"/>
          </w:tcPr>
          <w:p w14:paraId="581267D5" w14:textId="77777777" w:rsidR="00C56109" w:rsidRPr="00D11F89" w:rsidRDefault="00E5648D" w:rsidP="00B47B24">
            <w:pPr>
              <w:autoSpaceDE w:val="0"/>
              <w:autoSpaceDN w:val="0"/>
              <w:adjustRightInd w:val="0"/>
              <w:jc w:val="center"/>
            </w:pPr>
            <w:r w:rsidRPr="00D11F89">
              <w:rPr>
                <w:lang w:val="es-ES" w:bidi="es-ES"/>
              </w:rPr>
              <w:t>17.27%</w:t>
            </w:r>
          </w:p>
        </w:tc>
        <w:tc>
          <w:tcPr>
            <w:tcW w:w="1096" w:type="dxa"/>
            <w:vAlign w:val="center"/>
          </w:tcPr>
          <w:p w14:paraId="55264C64" w14:textId="77777777" w:rsidR="00C56109" w:rsidRPr="00D11F89" w:rsidRDefault="00E5648D" w:rsidP="00B47B24">
            <w:pPr>
              <w:autoSpaceDE w:val="0"/>
              <w:autoSpaceDN w:val="0"/>
              <w:adjustRightInd w:val="0"/>
              <w:jc w:val="center"/>
            </w:pPr>
            <w:r w:rsidRPr="00D11F89">
              <w:rPr>
                <w:lang w:val="es-ES" w:bidi="es-ES"/>
              </w:rPr>
              <w:t>20.921</w:t>
            </w:r>
          </w:p>
        </w:tc>
        <w:tc>
          <w:tcPr>
            <w:tcW w:w="864" w:type="dxa"/>
            <w:vAlign w:val="center"/>
          </w:tcPr>
          <w:p w14:paraId="394D7564" w14:textId="77777777" w:rsidR="00C56109" w:rsidRPr="00D11F89" w:rsidRDefault="00E5648D" w:rsidP="00B47B24">
            <w:pPr>
              <w:autoSpaceDE w:val="0"/>
              <w:autoSpaceDN w:val="0"/>
              <w:adjustRightInd w:val="0"/>
              <w:jc w:val="center"/>
            </w:pPr>
            <w:r w:rsidRPr="00D11F89">
              <w:rPr>
                <w:lang w:val="es-ES" w:bidi="es-ES"/>
              </w:rPr>
              <w:t>2.905</w:t>
            </w:r>
          </w:p>
        </w:tc>
        <w:tc>
          <w:tcPr>
            <w:tcW w:w="956" w:type="dxa"/>
            <w:vAlign w:val="center"/>
          </w:tcPr>
          <w:p w14:paraId="6B9D47BB" w14:textId="77777777" w:rsidR="00C56109" w:rsidRPr="00D11F89" w:rsidRDefault="00E5648D" w:rsidP="00B47B24">
            <w:pPr>
              <w:autoSpaceDE w:val="0"/>
              <w:autoSpaceDN w:val="0"/>
              <w:adjustRightInd w:val="0"/>
              <w:jc w:val="center"/>
            </w:pPr>
            <w:r w:rsidRPr="00D11F89">
              <w:rPr>
                <w:lang w:val="es-ES" w:bidi="es-ES"/>
              </w:rPr>
              <w:t>16.12%</w:t>
            </w:r>
          </w:p>
        </w:tc>
      </w:tr>
      <w:tr w:rsidR="006E61D7" w14:paraId="0C808344" w14:textId="77777777" w:rsidTr="00D52A80">
        <w:trPr>
          <w:trHeight w:val="278"/>
          <w:jc w:val="center"/>
        </w:trPr>
        <w:tc>
          <w:tcPr>
            <w:tcW w:w="1304" w:type="dxa"/>
            <w:vAlign w:val="center"/>
          </w:tcPr>
          <w:p w14:paraId="21248729" w14:textId="77777777" w:rsidR="00C56109" w:rsidRPr="00D11F89" w:rsidRDefault="00E5648D" w:rsidP="00B47B24">
            <w:pPr>
              <w:autoSpaceDE w:val="0"/>
              <w:autoSpaceDN w:val="0"/>
              <w:adjustRightInd w:val="0"/>
              <w:jc w:val="center"/>
            </w:pPr>
            <w:r w:rsidRPr="00D11F89">
              <w:rPr>
                <w:sz w:val="22"/>
                <w:szCs w:val="22"/>
                <w:lang w:val="es-ES" w:bidi="es-ES"/>
              </w:rPr>
              <w:t>Total del sistema</w:t>
            </w:r>
          </w:p>
        </w:tc>
        <w:tc>
          <w:tcPr>
            <w:tcW w:w="1047" w:type="dxa"/>
            <w:vAlign w:val="center"/>
          </w:tcPr>
          <w:p w14:paraId="1161FDAC" w14:textId="77777777" w:rsidR="00C56109" w:rsidRPr="00D11F89" w:rsidRDefault="00E5648D" w:rsidP="00B47B24">
            <w:pPr>
              <w:autoSpaceDE w:val="0"/>
              <w:autoSpaceDN w:val="0"/>
              <w:adjustRightInd w:val="0"/>
              <w:jc w:val="center"/>
            </w:pPr>
            <w:r w:rsidRPr="00D11F89">
              <w:rPr>
                <w:lang w:val="es-ES" w:bidi="es-ES"/>
              </w:rPr>
              <w:t>20.849</w:t>
            </w:r>
          </w:p>
        </w:tc>
        <w:tc>
          <w:tcPr>
            <w:tcW w:w="1096" w:type="dxa"/>
            <w:vAlign w:val="center"/>
          </w:tcPr>
          <w:p w14:paraId="774D77CA" w14:textId="77777777" w:rsidR="00C56109" w:rsidRPr="00D11F89" w:rsidRDefault="00E5648D" w:rsidP="00B47B24">
            <w:pPr>
              <w:autoSpaceDE w:val="0"/>
              <w:autoSpaceDN w:val="0"/>
              <w:adjustRightInd w:val="0"/>
              <w:jc w:val="center"/>
            </w:pPr>
            <w:r w:rsidRPr="00D11F89">
              <w:rPr>
                <w:lang w:val="es-ES" w:bidi="es-ES"/>
              </w:rPr>
              <w:t>21.692</w:t>
            </w:r>
          </w:p>
        </w:tc>
        <w:tc>
          <w:tcPr>
            <w:tcW w:w="864" w:type="dxa"/>
            <w:vAlign w:val="center"/>
          </w:tcPr>
          <w:p w14:paraId="71F96515" w14:textId="77777777" w:rsidR="00C56109" w:rsidRPr="00D11F89" w:rsidRDefault="00E5648D" w:rsidP="00B47B24">
            <w:pPr>
              <w:autoSpaceDE w:val="0"/>
              <w:autoSpaceDN w:val="0"/>
              <w:adjustRightInd w:val="0"/>
              <w:jc w:val="center"/>
            </w:pPr>
            <w:r w:rsidRPr="00D11F89">
              <w:rPr>
                <w:lang w:val="es-ES" w:bidi="es-ES"/>
              </w:rPr>
              <w:t>0.843</w:t>
            </w:r>
          </w:p>
        </w:tc>
        <w:tc>
          <w:tcPr>
            <w:tcW w:w="1008" w:type="dxa"/>
            <w:vAlign w:val="center"/>
          </w:tcPr>
          <w:p w14:paraId="07A7DBA1" w14:textId="77777777" w:rsidR="00C56109" w:rsidRPr="00D11F89" w:rsidRDefault="00E5648D" w:rsidP="00B47B24">
            <w:pPr>
              <w:autoSpaceDE w:val="0"/>
              <w:autoSpaceDN w:val="0"/>
              <w:adjustRightInd w:val="0"/>
              <w:jc w:val="center"/>
            </w:pPr>
            <w:r w:rsidRPr="00D11F89">
              <w:rPr>
                <w:lang w:val="es-ES" w:bidi="es-ES"/>
              </w:rPr>
              <w:t>4.04%</w:t>
            </w:r>
          </w:p>
        </w:tc>
        <w:tc>
          <w:tcPr>
            <w:tcW w:w="1096" w:type="dxa"/>
            <w:vAlign w:val="center"/>
          </w:tcPr>
          <w:p w14:paraId="4DA172D9" w14:textId="77777777" w:rsidR="00C56109" w:rsidRPr="00D11F89" w:rsidRDefault="00E5648D" w:rsidP="00B47B24">
            <w:pPr>
              <w:autoSpaceDE w:val="0"/>
              <w:autoSpaceDN w:val="0"/>
              <w:adjustRightInd w:val="0"/>
              <w:jc w:val="center"/>
            </w:pPr>
            <w:r w:rsidRPr="00D11F89">
              <w:rPr>
                <w:lang w:val="es-ES" w:bidi="es-ES"/>
              </w:rPr>
              <w:t>21.693</w:t>
            </w:r>
          </w:p>
        </w:tc>
        <w:tc>
          <w:tcPr>
            <w:tcW w:w="864" w:type="dxa"/>
            <w:vAlign w:val="center"/>
          </w:tcPr>
          <w:p w14:paraId="45BFD3FC" w14:textId="77777777" w:rsidR="00C56109" w:rsidRPr="00D11F89" w:rsidRDefault="00E5648D" w:rsidP="00B47B24">
            <w:pPr>
              <w:autoSpaceDE w:val="0"/>
              <w:autoSpaceDN w:val="0"/>
              <w:adjustRightInd w:val="0"/>
              <w:jc w:val="center"/>
            </w:pPr>
            <w:r w:rsidRPr="00D11F89">
              <w:rPr>
                <w:lang w:val="es-ES" w:bidi="es-ES"/>
              </w:rPr>
              <w:t>0.844</w:t>
            </w:r>
          </w:p>
        </w:tc>
        <w:tc>
          <w:tcPr>
            <w:tcW w:w="956" w:type="dxa"/>
            <w:vAlign w:val="center"/>
          </w:tcPr>
          <w:p w14:paraId="6B344CA0" w14:textId="77777777" w:rsidR="00C56109" w:rsidRPr="00D11F89" w:rsidRDefault="00E5648D" w:rsidP="00B47B24">
            <w:pPr>
              <w:autoSpaceDE w:val="0"/>
              <w:autoSpaceDN w:val="0"/>
              <w:adjustRightInd w:val="0"/>
              <w:jc w:val="center"/>
            </w:pPr>
            <w:r w:rsidRPr="00D11F89">
              <w:rPr>
                <w:lang w:val="es-ES" w:bidi="es-ES"/>
              </w:rPr>
              <w:t>4.05%</w:t>
            </w:r>
          </w:p>
        </w:tc>
        <w:tc>
          <w:tcPr>
            <w:tcW w:w="1096" w:type="dxa"/>
            <w:vAlign w:val="center"/>
          </w:tcPr>
          <w:p w14:paraId="506C8D69" w14:textId="77777777" w:rsidR="00C56109" w:rsidRPr="00D11F89" w:rsidRDefault="00E5648D" w:rsidP="00B47B24">
            <w:pPr>
              <w:autoSpaceDE w:val="0"/>
              <w:autoSpaceDN w:val="0"/>
              <w:adjustRightInd w:val="0"/>
              <w:jc w:val="center"/>
            </w:pPr>
            <w:r w:rsidRPr="00D11F89">
              <w:rPr>
                <w:lang w:val="es-ES" w:bidi="es-ES"/>
              </w:rPr>
              <w:t>21.694</w:t>
            </w:r>
          </w:p>
        </w:tc>
        <w:tc>
          <w:tcPr>
            <w:tcW w:w="864" w:type="dxa"/>
            <w:vAlign w:val="center"/>
          </w:tcPr>
          <w:p w14:paraId="6F79D593" w14:textId="77777777" w:rsidR="00C56109" w:rsidRPr="00D11F89" w:rsidRDefault="00E5648D" w:rsidP="00B47B24">
            <w:pPr>
              <w:autoSpaceDE w:val="0"/>
              <w:autoSpaceDN w:val="0"/>
              <w:adjustRightInd w:val="0"/>
              <w:jc w:val="center"/>
            </w:pPr>
            <w:r w:rsidRPr="00D11F89">
              <w:rPr>
                <w:lang w:val="es-ES" w:bidi="es-ES"/>
              </w:rPr>
              <w:t>0.845</w:t>
            </w:r>
          </w:p>
        </w:tc>
        <w:tc>
          <w:tcPr>
            <w:tcW w:w="956" w:type="dxa"/>
            <w:vAlign w:val="center"/>
          </w:tcPr>
          <w:p w14:paraId="30035FD7" w14:textId="77777777" w:rsidR="00C56109" w:rsidRPr="00D11F89" w:rsidRDefault="00E5648D" w:rsidP="00B47B24">
            <w:pPr>
              <w:autoSpaceDE w:val="0"/>
              <w:autoSpaceDN w:val="0"/>
              <w:adjustRightInd w:val="0"/>
              <w:jc w:val="center"/>
            </w:pPr>
            <w:r w:rsidRPr="00D11F89">
              <w:rPr>
                <w:lang w:val="es-ES" w:bidi="es-ES"/>
              </w:rPr>
              <w:t>4.05%</w:t>
            </w:r>
          </w:p>
        </w:tc>
      </w:tr>
    </w:tbl>
    <w:p w14:paraId="3938781C" w14:textId="77777777" w:rsidR="00BA5403" w:rsidRPr="00A25F39" w:rsidRDefault="00C05CD4" w:rsidP="00860912">
      <w:pPr>
        <w:autoSpaceDE w:val="0"/>
        <w:autoSpaceDN w:val="0"/>
        <w:adjustRightInd w:val="0"/>
        <w:jc w:val="both"/>
      </w:pPr>
    </w:p>
    <w:p w14:paraId="46648AAF" w14:textId="77777777" w:rsidR="00860912" w:rsidRPr="00DF0C16" w:rsidRDefault="00E5648D" w:rsidP="00980936">
      <w:r>
        <w:rPr>
          <w:lang w:val="es-ES" w:bidi="es-ES"/>
        </w:rPr>
        <w:t xml:space="preserve">La tabla 2 a continuación compara las propuestas de SDG&amp;E en este procedimiento con las “Tarifas actuales ajustadas para ventas actualizadas </w:t>
      </w:r>
      <w:r w:rsidR="00320708">
        <w:rPr>
          <w:lang w:val="es-ES" w:bidi="es-ES"/>
        </w:rPr>
        <w:t>de</w:t>
      </w:r>
      <w:r>
        <w:rPr>
          <w:lang w:val="es-ES" w:bidi="es-ES"/>
        </w:rPr>
        <w:t xml:space="preserve"> 2016”. La tabla 2 es más representativa de las propuestas de SDG&amp;E en la GRC Fase 2, después de aplicar las ventas previstas pendientes para 2016 en la Solicitud GRC Fase 1 (A.14-11-003) de SDG&amp;E. En la tabla 2 a continuación, las “Tarifas actuales ajustadas para ventas actualizadas de 2016” se ajustaron </w:t>
      </w:r>
      <w:r w:rsidR="009027C5">
        <w:rPr>
          <w:lang w:val="es-ES" w:bidi="es-ES"/>
        </w:rPr>
        <w:t>con base en</w:t>
      </w:r>
      <w:r>
        <w:rPr>
          <w:lang w:val="es-ES" w:bidi="es-ES"/>
        </w:rPr>
        <w:t xml:space="preserve"> las “Tarifas actuales en vigor a partir del 2/1/2015" para el pronóstico actualizado de ventas.  SDG&amp;E solicitó que estas tarifas entren en vigor en enero de 2016.</w:t>
      </w:r>
    </w:p>
    <w:p w14:paraId="1A29447A" w14:textId="77777777" w:rsidR="00860912" w:rsidRDefault="00C05CD4" w:rsidP="00860912">
      <w:pPr>
        <w:autoSpaceDE w:val="0"/>
        <w:autoSpaceDN w:val="0"/>
        <w:adjustRightInd w:val="0"/>
        <w:jc w:val="center"/>
        <w:rPr>
          <w:b/>
          <w:bCs/>
        </w:rPr>
      </w:pPr>
    </w:p>
    <w:p w14:paraId="3C34BB30" w14:textId="77777777" w:rsidR="002A513D" w:rsidRDefault="002A513D">
      <w:pPr>
        <w:spacing w:after="200" w:line="276" w:lineRule="auto"/>
        <w:rPr>
          <w:b/>
          <w:bCs/>
          <w:lang w:val="es-ES" w:bidi="es-ES"/>
        </w:rPr>
      </w:pPr>
      <w:r>
        <w:rPr>
          <w:b/>
          <w:bCs/>
          <w:lang w:val="es-ES" w:bidi="es-ES"/>
        </w:rPr>
        <w:br w:type="page"/>
      </w:r>
    </w:p>
    <w:p w14:paraId="4DFDE320" w14:textId="77777777" w:rsidR="00B47B24" w:rsidRPr="00C44FBD" w:rsidRDefault="00E5648D" w:rsidP="00B47B24">
      <w:pPr>
        <w:autoSpaceDE w:val="0"/>
        <w:autoSpaceDN w:val="0"/>
        <w:adjustRightInd w:val="0"/>
        <w:jc w:val="center"/>
        <w:rPr>
          <w:b/>
        </w:rPr>
      </w:pPr>
      <w:r w:rsidRPr="00C44FBD">
        <w:rPr>
          <w:b/>
          <w:bCs/>
          <w:lang w:val="es-ES" w:bidi="es-ES"/>
        </w:rPr>
        <w:lastRenderedPageBreak/>
        <w:t>Tabla 2: Propuesta de SDG&amp;E comparada con las tarifas actuales en vigor ajustadas para las ventas actualizadas de 2016</w:t>
      </w:r>
    </w:p>
    <w:p w14:paraId="1FFF0F6E" w14:textId="77777777" w:rsidR="00B47B24" w:rsidRPr="00A25F39" w:rsidRDefault="00C05CD4" w:rsidP="00B47B24">
      <w:pPr>
        <w:autoSpaceDE w:val="0"/>
        <w:autoSpaceDN w:val="0"/>
        <w:adjustRightInd w:val="0"/>
        <w:jc w:val="both"/>
      </w:pPr>
    </w:p>
    <w:tbl>
      <w:tblPr>
        <w:tblW w:w="12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047"/>
        <w:gridCol w:w="1096"/>
        <w:gridCol w:w="1096"/>
        <w:gridCol w:w="864"/>
        <w:gridCol w:w="1008"/>
        <w:gridCol w:w="1096"/>
        <w:gridCol w:w="864"/>
        <w:gridCol w:w="956"/>
        <w:gridCol w:w="1096"/>
        <w:gridCol w:w="864"/>
        <w:gridCol w:w="956"/>
      </w:tblGrid>
      <w:tr w:rsidR="006E61D7" w14:paraId="770F4D72" w14:textId="77777777" w:rsidTr="00C44FBD">
        <w:trPr>
          <w:trHeight w:val="287"/>
          <w:jc w:val="center"/>
        </w:trPr>
        <w:tc>
          <w:tcPr>
            <w:tcW w:w="1304" w:type="dxa"/>
            <w:tcBorders>
              <w:bottom w:val="nil"/>
            </w:tcBorders>
            <w:vAlign w:val="bottom"/>
          </w:tcPr>
          <w:p w14:paraId="16FFA968" w14:textId="77777777" w:rsidR="00B47B24" w:rsidRPr="00435197" w:rsidRDefault="00C05CD4" w:rsidP="00C44FBD">
            <w:pPr>
              <w:autoSpaceDE w:val="0"/>
              <w:autoSpaceDN w:val="0"/>
              <w:adjustRightInd w:val="0"/>
              <w:jc w:val="both"/>
              <w:rPr>
                <w:b/>
                <w:sz w:val="22"/>
                <w:szCs w:val="22"/>
              </w:rPr>
            </w:pPr>
          </w:p>
        </w:tc>
        <w:tc>
          <w:tcPr>
            <w:tcW w:w="1047" w:type="dxa"/>
            <w:tcBorders>
              <w:bottom w:val="nil"/>
            </w:tcBorders>
            <w:vAlign w:val="bottom"/>
          </w:tcPr>
          <w:p w14:paraId="6912C854" w14:textId="77777777" w:rsidR="00B47B24" w:rsidRPr="00435197" w:rsidRDefault="00C05CD4" w:rsidP="00C44FBD">
            <w:pPr>
              <w:autoSpaceDE w:val="0"/>
              <w:autoSpaceDN w:val="0"/>
              <w:adjustRightInd w:val="0"/>
              <w:jc w:val="center"/>
              <w:rPr>
                <w:b/>
                <w:sz w:val="22"/>
                <w:szCs w:val="22"/>
              </w:rPr>
            </w:pPr>
          </w:p>
        </w:tc>
        <w:tc>
          <w:tcPr>
            <w:tcW w:w="1096" w:type="dxa"/>
            <w:tcBorders>
              <w:bottom w:val="nil"/>
            </w:tcBorders>
          </w:tcPr>
          <w:p w14:paraId="109C3EA5" w14:textId="77777777" w:rsidR="00B47B24" w:rsidRPr="00435197" w:rsidRDefault="00C05CD4" w:rsidP="00C44FBD">
            <w:pPr>
              <w:autoSpaceDE w:val="0"/>
              <w:autoSpaceDN w:val="0"/>
              <w:adjustRightInd w:val="0"/>
              <w:jc w:val="center"/>
              <w:rPr>
                <w:b/>
                <w:sz w:val="22"/>
                <w:szCs w:val="22"/>
              </w:rPr>
            </w:pPr>
          </w:p>
        </w:tc>
        <w:tc>
          <w:tcPr>
            <w:tcW w:w="1096" w:type="dxa"/>
            <w:tcBorders>
              <w:bottom w:val="nil"/>
            </w:tcBorders>
            <w:vAlign w:val="bottom"/>
          </w:tcPr>
          <w:p w14:paraId="551C0AA5" w14:textId="77777777" w:rsidR="00B47B24" w:rsidRPr="00435197" w:rsidRDefault="00C05CD4" w:rsidP="00C44FBD">
            <w:pPr>
              <w:autoSpaceDE w:val="0"/>
              <w:autoSpaceDN w:val="0"/>
              <w:adjustRightInd w:val="0"/>
              <w:jc w:val="center"/>
              <w:rPr>
                <w:b/>
                <w:sz w:val="22"/>
                <w:szCs w:val="22"/>
              </w:rPr>
            </w:pPr>
          </w:p>
        </w:tc>
        <w:tc>
          <w:tcPr>
            <w:tcW w:w="1872" w:type="dxa"/>
            <w:gridSpan w:val="2"/>
            <w:tcBorders>
              <w:bottom w:val="nil"/>
            </w:tcBorders>
            <w:vAlign w:val="bottom"/>
          </w:tcPr>
          <w:p w14:paraId="2FD13974"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2016</w:t>
            </w:r>
          </w:p>
        </w:tc>
        <w:tc>
          <w:tcPr>
            <w:tcW w:w="1096" w:type="dxa"/>
            <w:tcBorders>
              <w:bottom w:val="nil"/>
            </w:tcBorders>
            <w:vAlign w:val="bottom"/>
          </w:tcPr>
          <w:p w14:paraId="0895E4FF" w14:textId="77777777" w:rsidR="00B47B24" w:rsidRPr="00435197" w:rsidRDefault="00C05CD4" w:rsidP="00C44FBD">
            <w:pPr>
              <w:autoSpaceDE w:val="0"/>
              <w:autoSpaceDN w:val="0"/>
              <w:adjustRightInd w:val="0"/>
              <w:jc w:val="center"/>
              <w:rPr>
                <w:b/>
                <w:sz w:val="22"/>
                <w:szCs w:val="22"/>
              </w:rPr>
            </w:pPr>
          </w:p>
        </w:tc>
        <w:tc>
          <w:tcPr>
            <w:tcW w:w="1820" w:type="dxa"/>
            <w:gridSpan w:val="2"/>
            <w:tcBorders>
              <w:bottom w:val="nil"/>
            </w:tcBorders>
            <w:vAlign w:val="bottom"/>
          </w:tcPr>
          <w:p w14:paraId="797EB38B"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2017</w:t>
            </w:r>
          </w:p>
        </w:tc>
        <w:tc>
          <w:tcPr>
            <w:tcW w:w="1096" w:type="dxa"/>
            <w:tcBorders>
              <w:bottom w:val="nil"/>
            </w:tcBorders>
            <w:vAlign w:val="bottom"/>
          </w:tcPr>
          <w:p w14:paraId="0CBAE272" w14:textId="77777777" w:rsidR="00B47B24" w:rsidRPr="00435197" w:rsidRDefault="00C05CD4" w:rsidP="00C44FBD">
            <w:pPr>
              <w:autoSpaceDE w:val="0"/>
              <w:autoSpaceDN w:val="0"/>
              <w:adjustRightInd w:val="0"/>
              <w:jc w:val="center"/>
              <w:rPr>
                <w:b/>
                <w:sz w:val="22"/>
                <w:szCs w:val="22"/>
              </w:rPr>
            </w:pPr>
          </w:p>
        </w:tc>
        <w:tc>
          <w:tcPr>
            <w:tcW w:w="1820" w:type="dxa"/>
            <w:gridSpan w:val="2"/>
            <w:tcBorders>
              <w:bottom w:val="nil"/>
            </w:tcBorders>
            <w:vAlign w:val="bottom"/>
          </w:tcPr>
          <w:p w14:paraId="788DE822"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Cambio de 2015 a 2018</w:t>
            </w:r>
          </w:p>
        </w:tc>
      </w:tr>
      <w:tr w:rsidR="006E61D7" w14:paraId="6EE092E7" w14:textId="77777777" w:rsidTr="00C44FBD">
        <w:trPr>
          <w:trHeight w:val="786"/>
          <w:jc w:val="center"/>
        </w:trPr>
        <w:tc>
          <w:tcPr>
            <w:tcW w:w="1304" w:type="dxa"/>
            <w:tcBorders>
              <w:top w:val="nil"/>
            </w:tcBorders>
            <w:vAlign w:val="bottom"/>
          </w:tcPr>
          <w:p w14:paraId="211AFA3D" w14:textId="77777777" w:rsidR="00B47B24" w:rsidRPr="00435197" w:rsidRDefault="00E5648D" w:rsidP="00C44FBD">
            <w:pPr>
              <w:autoSpaceDE w:val="0"/>
              <w:autoSpaceDN w:val="0"/>
              <w:adjustRightInd w:val="0"/>
              <w:jc w:val="center"/>
              <w:rPr>
                <w:b/>
              </w:rPr>
            </w:pPr>
            <w:r w:rsidRPr="00435197">
              <w:rPr>
                <w:b/>
                <w:bCs/>
                <w:sz w:val="22"/>
                <w:szCs w:val="22"/>
                <w:lang w:val="es-ES" w:bidi="es-ES"/>
              </w:rPr>
              <w:t>Clase de cliente</w:t>
            </w:r>
          </w:p>
        </w:tc>
        <w:tc>
          <w:tcPr>
            <w:tcW w:w="1047" w:type="dxa"/>
            <w:tcBorders>
              <w:top w:val="nil"/>
            </w:tcBorders>
            <w:vAlign w:val="bottom"/>
          </w:tcPr>
          <w:p w14:paraId="22FEB853" w14:textId="77777777" w:rsidR="00B47B24" w:rsidRPr="00435197" w:rsidRDefault="00E5648D" w:rsidP="00C44FBD">
            <w:pPr>
              <w:autoSpaceDE w:val="0"/>
              <w:autoSpaceDN w:val="0"/>
              <w:adjustRightInd w:val="0"/>
              <w:jc w:val="center"/>
              <w:rPr>
                <w:b/>
              </w:rPr>
            </w:pPr>
            <w:r>
              <w:rPr>
                <w:b/>
                <w:bCs/>
                <w:sz w:val="22"/>
                <w:szCs w:val="22"/>
                <w:lang w:val="es-ES" w:bidi="es-ES"/>
              </w:rPr>
              <w:t>Tarifas actuales en vigor a partir del 2/1/2015</w:t>
            </w:r>
          </w:p>
        </w:tc>
        <w:tc>
          <w:tcPr>
            <w:tcW w:w="1096" w:type="dxa"/>
            <w:tcBorders>
              <w:top w:val="nil"/>
            </w:tcBorders>
          </w:tcPr>
          <w:p w14:paraId="20F20A8B" w14:textId="77777777" w:rsidR="00B47B24" w:rsidRPr="00435197" w:rsidRDefault="00E5648D" w:rsidP="00C44FBD">
            <w:pPr>
              <w:autoSpaceDE w:val="0"/>
              <w:autoSpaceDN w:val="0"/>
              <w:adjustRightInd w:val="0"/>
              <w:jc w:val="center"/>
              <w:rPr>
                <w:b/>
                <w:sz w:val="22"/>
                <w:szCs w:val="22"/>
              </w:rPr>
            </w:pPr>
            <w:r>
              <w:rPr>
                <w:b/>
                <w:bCs/>
                <w:sz w:val="22"/>
                <w:szCs w:val="22"/>
                <w:lang w:val="es-ES" w:bidi="es-ES"/>
              </w:rPr>
              <w:t>Tarifas actuales en vigor ajustadas para las ventas actualizadas de 2016</w:t>
            </w:r>
          </w:p>
        </w:tc>
        <w:tc>
          <w:tcPr>
            <w:tcW w:w="1096" w:type="dxa"/>
            <w:tcBorders>
              <w:top w:val="nil"/>
            </w:tcBorders>
            <w:vAlign w:val="bottom"/>
          </w:tcPr>
          <w:p w14:paraId="008B276E"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75744B86" w14:textId="77777777" w:rsidR="00B47B24" w:rsidRPr="00435197" w:rsidRDefault="00E5648D" w:rsidP="00C44FBD">
            <w:pPr>
              <w:autoSpaceDE w:val="0"/>
              <w:autoSpaceDN w:val="0"/>
              <w:adjustRightInd w:val="0"/>
              <w:jc w:val="center"/>
              <w:rPr>
                <w:b/>
              </w:rPr>
            </w:pPr>
            <w:r w:rsidRPr="00435197">
              <w:rPr>
                <w:b/>
                <w:bCs/>
                <w:sz w:val="22"/>
                <w:szCs w:val="22"/>
                <w:lang w:val="es-ES" w:bidi="es-ES"/>
              </w:rPr>
              <w:t>1/1/2016</w:t>
            </w:r>
          </w:p>
        </w:tc>
        <w:tc>
          <w:tcPr>
            <w:tcW w:w="864" w:type="dxa"/>
            <w:tcBorders>
              <w:top w:val="nil"/>
            </w:tcBorders>
            <w:vAlign w:val="bottom"/>
          </w:tcPr>
          <w:p w14:paraId="0982461A" w14:textId="77777777" w:rsidR="00B47B24" w:rsidRPr="00435197" w:rsidRDefault="00E5648D" w:rsidP="00C44FBD">
            <w:pPr>
              <w:autoSpaceDE w:val="0"/>
              <w:autoSpaceDN w:val="0"/>
              <w:adjustRightInd w:val="0"/>
              <w:jc w:val="center"/>
              <w:rPr>
                <w:b/>
              </w:rPr>
            </w:pPr>
            <w:r>
              <w:rPr>
                <w:b/>
                <w:sz w:val="22"/>
                <w:szCs w:val="22"/>
              </w:rPr>
              <w:t>$</w:t>
            </w:r>
          </w:p>
        </w:tc>
        <w:tc>
          <w:tcPr>
            <w:tcW w:w="1008" w:type="dxa"/>
            <w:tcBorders>
              <w:top w:val="nil"/>
            </w:tcBorders>
            <w:vAlign w:val="bottom"/>
          </w:tcPr>
          <w:p w14:paraId="65C7FA2E" w14:textId="77777777" w:rsidR="00B47B24" w:rsidRPr="00435197" w:rsidRDefault="00E5648D" w:rsidP="00C44FBD">
            <w:pPr>
              <w:autoSpaceDE w:val="0"/>
              <w:autoSpaceDN w:val="0"/>
              <w:adjustRightInd w:val="0"/>
              <w:jc w:val="center"/>
              <w:rPr>
                <w:b/>
              </w:rPr>
            </w:pPr>
            <w:r>
              <w:rPr>
                <w:b/>
                <w:sz w:val="22"/>
                <w:szCs w:val="22"/>
              </w:rPr>
              <w:t>%</w:t>
            </w:r>
          </w:p>
        </w:tc>
        <w:tc>
          <w:tcPr>
            <w:tcW w:w="1096" w:type="dxa"/>
            <w:tcBorders>
              <w:top w:val="nil"/>
            </w:tcBorders>
            <w:vAlign w:val="bottom"/>
          </w:tcPr>
          <w:p w14:paraId="43D5B364" w14:textId="77777777" w:rsidR="00B47B24" w:rsidRDefault="00E5648D" w:rsidP="00C44FBD">
            <w:pPr>
              <w:tabs>
                <w:tab w:val="left" w:pos="508"/>
                <w:tab w:val="left" w:pos="818"/>
              </w:tabs>
              <w:autoSpaceDE w:val="0"/>
              <w:autoSpaceDN w:val="0"/>
              <w:adjustRightInd w:val="0"/>
              <w:jc w:val="center"/>
              <w:rPr>
                <w:b/>
                <w:sz w:val="22"/>
                <w:szCs w:val="22"/>
              </w:rPr>
            </w:pPr>
            <w:r w:rsidRPr="00435197">
              <w:rPr>
                <w:b/>
                <w:bCs/>
                <w:sz w:val="22"/>
                <w:szCs w:val="22"/>
                <w:lang w:val="es-ES" w:bidi="es-ES"/>
              </w:rPr>
              <w:t xml:space="preserve">Tarifas propuestas  </w:t>
            </w:r>
          </w:p>
          <w:p w14:paraId="784FE6C1"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1/1/2017</w:t>
            </w:r>
          </w:p>
        </w:tc>
        <w:tc>
          <w:tcPr>
            <w:tcW w:w="864" w:type="dxa"/>
            <w:tcBorders>
              <w:top w:val="nil"/>
            </w:tcBorders>
            <w:vAlign w:val="bottom"/>
          </w:tcPr>
          <w:p w14:paraId="2C547BBE" w14:textId="77777777" w:rsidR="00B47B24"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401BE4CA" w14:textId="77777777" w:rsidR="00B47B24" w:rsidRDefault="00E5648D" w:rsidP="00C44FBD">
            <w:pPr>
              <w:autoSpaceDE w:val="0"/>
              <w:autoSpaceDN w:val="0"/>
              <w:adjustRightInd w:val="0"/>
              <w:jc w:val="center"/>
              <w:rPr>
                <w:b/>
                <w:sz w:val="22"/>
                <w:szCs w:val="22"/>
              </w:rPr>
            </w:pPr>
            <w:r>
              <w:rPr>
                <w:b/>
                <w:sz w:val="22"/>
                <w:szCs w:val="22"/>
              </w:rPr>
              <w:t>%</w:t>
            </w:r>
          </w:p>
        </w:tc>
        <w:tc>
          <w:tcPr>
            <w:tcW w:w="1096" w:type="dxa"/>
            <w:tcBorders>
              <w:top w:val="nil"/>
            </w:tcBorders>
            <w:vAlign w:val="bottom"/>
          </w:tcPr>
          <w:p w14:paraId="0924FF24"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 xml:space="preserve">Tarifas propuestas  </w:t>
            </w:r>
          </w:p>
          <w:p w14:paraId="6B5CAED0" w14:textId="77777777" w:rsidR="00B47B24" w:rsidRDefault="00E5648D" w:rsidP="00C44FBD">
            <w:pPr>
              <w:autoSpaceDE w:val="0"/>
              <w:autoSpaceDN w:val="0"/>
              <w:adjustRightInd w:val="0"/>
              <w:jc w:val="center"/>
              <w:rPr>
                <w:b/>
                <w:sz w:val="22"/>
                <w:szCs w:val="22"/>
              </w:rPr>
            </w:pPr>
            <w:r w:rsidRPr="00435197">
              <w:rPr>
                <w:b/>
                <w:bCs/>
                <w:sz w:val="22"/>
                <w:szCs w:val="22"/>
                <w:lang w:val="es-ES" w:bidi="es-ES"/>
              </w:rPr>
              <w:t>1/1/2018</w:t>
            </w:r>
          </w:p>
        </w:tc>
        <w:tc>
          <w:tcPr>
            <w:tcW w:w="864" w:type="dxa"/>
            <w:tcBorders>
              <w:top w:val="nil"/>
            </w:tcBorders>
            <w:vAlign w:val="bottom"/>
          </w:tcPr>
          <w:p w14:paraId="5DAB5E3E" w14:textId="77777777" w:rsidR="00B47B24" w:rsidRDefault="00E5648D" w:rsidP="00C44FBD">
            <w:pPr>
              <w:autoSpaceDE w:val="0"/>
              <w:autoSpaceDN w:val="0"/>
              <w:adjustRightInd w:val="0"/>
              <w:jc w:val="center"/>
              <w:rPr>
                <w:b/>
                <w:sz w:val="22"/>
                <w:szCs w:val="22"/>
              </w:rPr>
            </w:pPr>
            <w:r>
              <w:rPr>
                <w:b/>
                <w:sz w:val="22"/>
                <w:szCs w:val="22"/>
              </w:rPr>
              <w:t>$</w:t>
            </w:r>
          </w:p>
        </w:tc>
        <w:tc>
          <w:tcPr>
            <w:tcW w:w="956" w:type="dxa"/>
            <w:tcBorders>
              <w:top w:val="nil"/>
            </w:tcBorders>
            <w:vAlign w:val="bottom"/>
          </w:tcPr>
          <w:p w14:paraId="124B53F5" w14:textId="77777777" w:rsidR="00B47B24" w:rsidRDefault="00E5648D" w:rsidP="00C44FBD">
            <w:pPr>
              <w:autoSpaceDE w:val="0"/>
              <w:autoSpaceDN w:val="0"/>
              <w:adjustRightInd w:val="0"/>
              <w:jc w:val="center"/>
              <w:rPr>
                <w:b/>
                <w:sz w:val="22"/>
                <w:szCs w:val="22"/>
              </w:rPr>
            </w:pPr>
            <w:r>
              <w:rPr>
                <w:b/>
                <w:sz w:val="22"/>
                <w:szCs w:val="22"/>
              </w:rPr>
              <w:t>%</w:t>
            </w:r>
          </w:p>
        </w:tc>
      </w:tr>
      <w:tr w:rsidR="006E61D7" w14:paraId="5314ADDA" w14:textId="77777777" w:rsidTr="00C44FBD">
        <w:trPr>
          <w:trHeight w:val="278"/>
          <w:jc w:val="center"/>
        </w:trPr>
        <w:tc>
          <w:tcPr>
            <w:tcW w:w="1304" w:type="dxa"/>
          </w:tcPr>
          <w:p w14:paraId="38708AE6" w14:textId="77777777" w:rsidR="00B47B24" w:rsidRPr="00435197" w:rsidRDefault="00C05CD4" w:rsidP="00C44FBD">
            <w:pPr>
              <w:autoSpaceDE w:val="0"/>
              <w:autoSpaceDN w:val="0"/>
              <w:adjustRightInd w:val="0"/>
              <w:jc w:val="center"/>
            </w:pPr>
          </w:p>
        </w:tc>
        <w:tc>
          <w:tcPr>
            <w:tcW w:w="1047" w:type="dxa"/>
          </w:tcPr>
          <w:p w14:paraId="508D7172" w14:textId="77777777" w:rsidR="00B47B24" w:rsidRPr="00435197" w:rsidRDefault="00C05CD4" w:rsidP="00C44FBD">
            <w:pPr>
              <w:autoSpaceDE w:val="0"/>
              <w:autoSpaceDN w:val="0"/>
              <w:adjustRightInd w:val="0"/>
              <w:jc w:val="both"/>
            </w:pPr>
          </w:p>
        </w:tc>
        <w:tc>
          <w:tcPr>
            <w:tcW w:w="1096" w:type="dxa"/>
          </w:tcPr>
          <w:p w14:paraId="5D45FEB9" w14:textId="77777777" w:rsidR="00B47B24" w:rsidRPr="00435197" w:rsidRDefault="00C05CD4" w:rsidP="00C44FBD">
            <w:pPr>
              <w:autoSpaceDE w:val="0"/>
              <w:autoSpaceDN w:val="0"/>
              <w:adjustRightInd w:val="0"/>
              <w:jc w:val="both"/>
            </w:pPr>
          </w:p>
        </w:tc>
        <w:tc>
          <w:tcPr>
            <w:tcW w:w="1096" w:type="dxa"/>
          </w:tcPr>
          <w:p w14:paraId="6149F704" w14:textId="77777777" w:rsidR="00B47B24" w:rsidRPr="00435197" w:rsidRDefault="00C05CD4" w:rsidP="00C44FBD">
            <w:pPr>
              <w:autoSpaceDE w:val="0"/>
              <w:autoSpaceDN w:val="0"/>
              <w:adjustRightInd w:val="0"/>
              <w:jc w:val="both"/>
            </w:pPr>
          </w:p>
        </w:tc>
        <w:tc>
          <w:tcPr>
            <w:tcW w:w="864" w:type="dxa"/>
          </w:tcPr>
          <w:p w14:paraId="6D963F4C" w14:textId="77777777" w:rsidR="00B47B24" w:rsidRPr="00435197" w:rsidRDefault="00C05CD4" w:rsidP="00C44FBD">
            <w:pPr>
              <w:autoSpaceDE w:val="0"/>
              <w:autoSpaceDN w:val="0"/>
              <w:adjustRightInd w:val="0"/>
              <w:jc w:val="both"/>
            </w:pPr>
          </w:p>
        </w:tc>
        <w:tc>
          <w:tcPr>
            <w:tcW w:w="1008" w:type="dxa"/>
          </w:tcPr>
          <w:p w14:paraId="38074790" w14:textId="77777777" w:rsidR="00B47B24" w:rsidRPr="00435197" w:rsidRDefault="00C05CD4" w:rsidP="00C44FBD">
            <w:pPr>
              <w:autoSpaceDE w:val="0"/>
              <w:autoSpaceDN w:val="0"/>
              <w:adjustRightInd w:val="0"/>
              <w:jc w:val="both"/>
            </w:pPr>
          </w:p>
        </w:tc>
        <w:tc>
          <w:tcPr>
            <w:tcW w:w="1096" w:type="dxa"/>
          </w:tcPr>
          <w:p w14:paraId="0A512A05" w14:textId="77777777" w:rsidR="00B47B24" w:rsidRPr="00435197" w:rsidRDefault="00C05CD4" w:rsidP="00C44FBD">
            <w:pPr>
              <w:autoSpaceDE w:val="0"/>
              <w:autoSpaceDN w:val="0"/>
              <w:adjustRightInd w:val="0"/>
              <w:jc w:val="both"/>
            </w:pPr>
          </w:p>
        </w:tc>
        <w:tc>
          <w:tcPr>
            <w:tcW w:w="864" w:type="dxa"/>
          </w:tcPr>
          <w:p w14:paraId="66C5B8F6" w14:textId="77777777" w:rsidR="00B47B24" w:rsidRPr="00435197" w:rsidRDefault="00C05CD4" w:rsidP="00C44FBD">
            <w:pPr>
              <w:autoSpaceDE w:val="0"/>
              <w:autoSpaceDN w:val="0"/>
              <w:adjustRightInd w:val="0"/>
              <w:jc w:val="both"/>
            </w:pPr>
          </w:p>
        </w:tc>
        <w:tc>
          <w:tcPr>
            <w:tcW w:w="956" w:type="dxa"/>
          </w:tcPr>
          <w:p w14:paraId="4A55A995" w14:textId="77777777" w:rsidR="00B47B24" w:rsidRPr="00435197" w:rsidRDefault="00C05CD4" w:rsidP="00C44FBD">
            <w:pPr>
              <w:autoSpaceDE w:val="0"/>
              <w:autoSpaceDN w:val="0"/>
              <w:adjustRightInd w:val="0"/>
              <w:jc w:val="both"/>
            </w:pPr>
          </w:p>
        </w:tc>
        <w:tc>
          <w:tcPr>
            <w:tcW w:w="1096" w:type="dxa"/>
          </w:tcPr>
          <w:p w14:paraId="53578867" w14:textId="77777777" w:rsidR="00B47B24" w:rsidRPr="00435197" w:rsidRDefault="00C05CD4" w:rsidP="00C44FBD">
            <w:pPr>
              <w:autoSpaceDE w:val="0"/>
              <w:autoSpaceDN w:val="0"/>
              <w:adjustRightInd w:val="0"/>
              <w:jc w:val="both"/>
            </w:pPr>
          </w:p>
        </w:tc>
        <w:tc>
          <w:tcPr>
            <w:tcW w:w="864" w:type="dxa"/>
          </w:tcPr>
          <w:p w14:paraId="6018B800" w14:textId="77777777" w:rsidR="00B47B24" w:rsidRPr="00435197" w:rsidRDefault="00C05CD4" w:rsidP="00C44FBD">
            <w:pPr>
              <w:autoSpaceDE w:val="0"/>
              <w:autoSpaceDN w:val="0"/>
              <w:adjustRightInd w:val="0"/>
              <w:jc w:val="both"/>
            </w:pPr>
          </w:p>
        </w:tc>
        <w:tc>
          <w:tcPr>
            <w:tcW w:w="956" w:type="dxa"/>
          </w:tcPr>
          <w:p w14:paraId="2F57B703" w14:textId="77777777" w:rsidR="00B47B24" w:rsidRPr="00435197" w:rsidRDefault="00C05CD4" w:rsidP="00C44FBD">
            <w:pPr>
              <w:autoSpaceDE w:val="0"/>
              <w:autoSpaceDN w:val="0"/>
              <w:adjustRightInd w:val="0"/>
              <w:jc w:val="both"/>
            </w:pPr>
          </w:p>
        </w:tc>
      </w:tr>
      <w:tr w:rsidR="006E61D7" w14:paraId="330A2883" w14:textId="77777777" w:rsidTr="00D52A80">
        <w:trPr>
          <w:trHeight w:val="247"/>
          <w:jc w:val="center"/>
        </w:trPr>
        <w:tc>
          <w:tcPr>
            <w:tcW w:w="1304" w:type="dxa"/>
            <w:vAlign w:val="center"/>
          </w:tcPr>
          <w:p w14:paraId="5B5E7423" w14:textId="77777777" w:rsidR="00B47B24" w:rsidRPr="00D11F89" w:rsidRDefault="00E5648D" w:rsidP="00B47B24">
            <w:pPr>
              <w:autoSpaceDE w:val="0"/>
              <w:autoSpaceDN w:val="0"/>
              <w:adjustRightInd w:val="0"/>
              <w:jc w:val="center"/>
            </w:pPr>
            <w:r w:rsidRPr="00D11F89">
              <w:rPr>
                <w:sz w:val="22"/>
                <w:szCs w:val="22"/>
                <w:lang w:val="es-ES" w:bidi="es-ES"/>
              </w:rPr>
              <w:t>Residencial</w:t>
            </w:r>
          </w:p>
        </w:tc>
        <w:tc>
          <w:tcPr>
            <w:tcW w:w="1047" w:type="dxa"/>
            <w:vAlign w:val="center"/>
          </w:tcPr>
          <w:p w14:paraId="519A4ACA" w14:textId="77777777" w:rsidR="00B47B24" w:rsidRPr="00D11F89" w:rsidRDefault="00E5648D" w:rsidP="00B47B24">
            <w:pPr>
              <w:autoSpaceDE w:val="0"/>
              <w:autoSpaceDN w:val="0"/>
              <w:adjustRightInd w:val="0"/>
              <w:jc w:val="center"/>
            </w:pPr>
            <w:r w:rsidRPr="00D11F89">
              <w:rPr>
                <w:lang w:val="es-ES" w:bidi="es-ES"/>
              </w:rPr>
              <w:t>22.012</w:t>
            </w:r>
          </w:p>
        </w:tc>
        <w:tc>
          <w:tcPr>
            <w:tcW w:w="1096" w:type="dxa"/>
            <w:vAlign w:val="center"/>
          </w:tcPr>
          <w:p w14:paraId="27340CB0" w14:textId="77777777" w:rsidR="00B47B24" w:rsidRPr="00D11F89" w:rsidRDefault="00E5648D" w:rsidP="00B47B24">
            <w:pPr>
              <w:autoSpaceDE w:val="0"/>
              <w:autoSpaceDN w:val="0"/>
              <w:adjustRightInd w:val="0"/>
              <w:jc w:val="center"/>
            </w:pPr>
            <w:r>
              <w:rPr>
                <w:color w:val="000000"/>
                <w:lang w:val="es-ES" w:bidi="es-ES"/>
              </w:rPr>
              <w:t>21.193</w:t>
            </w:r>
          </w:p>
        </w:tc>
        <w:tc>
          <w:tcPr>
            <w:tcW w:w="1096" w:type="dxa"/>
            <w:vAlign w:val="center"/>
          </w:tcPr>
          <w:p w14:paraId="12D78598" w14:textId="77777777" w:rsidR="00B47B24" w:rsidRPr="00D11F89" w:rsidRDefault="00E5648D" w:rsidP="00B47B24">
            <w:pPr>
              <w:autoSpaceDE w:val="0"/>
              <w:autoSpaceDN w:val="0"/>
              <w:adjustRightInd w:val="0"/>
              <w:jc w:val="center"/>
            </w:pPr>
            <w:r>
              <w:rPr>
                <w:color w:val="000000"/>
                <w:lang w:val="es-ES" w:bidi="es-ES"/>
              </w:rPr>
              <w:t>21.724</w:t>
            </w:r>
          </w:p>
        </w:tc>
        <w:tc>
          <w:tcPr>
            <w:tcW w:w="864" w:type="dxa"/>
            <w:vAlign w:val="center"/>
          </w:tcPr>
          <w:p w14:paraId="712CE0E6" w14:textId="77777777" w:rsidR="00B47B24" w:rsidRPr="00D11F89" w:rsidRDefault="00E5648D" w:rsidP="00B47B24">
            <w:pPr>
              <w:autoSpaceDE w:val="0"/>
              <w:autoSpaceDN w:val="0"/>
              <w:adjustRightInd w:val="0"/>
              <w:jc w:val="center"/>
            </w:pPr>
            <w:r>
              <w:rPr>
                <w:color w:val="000000"/>
                <w:lang w:val="es-ES" w:bidi="es-ES"/>
              </w:rPr>
              <w:t>0.531</w:t>
            </w:r>
          </w:p>
        </w:tc>
        <w:tc>
          <w:tcPr>
            <w:tcW w:w="1008" w:type="dxa"/>
            <w:vAlign w:val="center"/>
          </w:tcPr>
          <w:p w14:paraId="61BCB8BC" w14:textId="77777777" w:rsidR="00B47B24" w:rsidRPr="00D11F89" w:rsidRDefault="00E5648D" w:rsidP="00B47B24">
            <w:pPr>
              <w:autoSpaceDE w:val="0"/>
              <w:autoSpaceDN w:val="0"/>
              <w:adjustRightInd w:val="0"/>
              <w:jc w:val="center"/>
            </w:pPr>
            <w:r>
              <w:rPr>
                <w:color w:val="000000"/>
                <w:lang w:val="es-ES" w:bidi="es-ES"/>
              </w:rPr>
              <w:t>2.51%</w:t>
            </w:r>
          </w:p>
        </w:tc>
        <w:tc>
          <w:tcPr>
            <w:tcW w:w="1096" w:type="dxa"/>
            <w:vAlign w:val="center"/>
          </w:tcPr>
          <w:p w14:paraId="2007F4C4" w14:textId="77777777" w:rsidR="00B47B24" w:rsidRPr="00D11F89" w:rsidRDefault="00E5648D" w:rsidP="00B47B24">
            <w:pPr>
              <w:autoSpaceDE w:val="0"/>
              <w:autoSpaceDN w:val="0"/>
              <w:adjustRightInd w:val="0"/>
              <w:jc w:val="center"/>
            </w:pPr>
            <w:r>
              <w:rPr>
                <w:color w:val="000000"/>
                <w:lang w:val="es-ES" w:bidi="es-ES"/>
              </w:rPr>
              <w:t>21.997</w:t>
            </w:r>
          </w:p>
        </w:tc>
        <w:tc>
          <w:tcPr>
            <w:tcW w:w="864" w:type="dxa"/>
            <w:vAlign w:val="center"/>
          </w:tcPr>
          <w:p w14:paraId="6C45CF54" w14:textId="77777777" w:rsidR="00B47B24" w:rsidRPr="00D11F89" w:rsidRDefault="00E5648D" w:rsidP="00B47B24">
            <w:pPr>
              <w:autoSpaceDE w:val="0"/>
              <w:autoSpaceDN w:val="0"/>
              <w:adjustRightInd w:val="0"/>
              <w:jc w:val="center"/>
            </w:pPr>
            <w:r>
              <w:rPr>
                <w:color w:val="000000"/>
                <w:lang w:val="es-ES" w:bidi="es-ES"/>
              </w:rPr>
              <w:t>0.804</w:t>
            </w:r>
          </w:p>
        </w:tc>
        <w:tc>
          <w:tcPr>
            <w:tcW w:w="956" w:type="dxa"/>
            <w:vAlign w:val="center"/>
          </w:tcPr>
          <w:p w14:paraId="4D2FB856" w14:textId="77777777" w:rsidR="00B47B24" w:rsidRPr="00D11F89" w:rsidRDefault="00E5648D" w:rsidP="00B47B24">
            <w:pPr>
              <w:autoSpaceDE w:val="0"/>
              <w:autoSpaceDN w:val="0"/>
              <w:adjustRightInd w:val="0"/>
              <w:jc w:val="center"/>
            </w:pPr>
            <w:r>
              <w:rPr>
                <w:color w:val="000000"/>
                <w:lang w:val="es-ES" w:bidi="es-ES"/>
              </w:rPr>
              <w:t>3.79%</w:t>
            </w:r>
          </w:p>
        </w:tc>
        <w:tc>
          <w:tcPr>
            <w:tcW w:w="1096" w:type="dxa"/>
            <w:vAlign w:val="center"/>
          </w:tcPr>
          <w:p w14:paraId="3ABF8798" w14:textId="77777777" w:rsidR="00B47B24" w:rsidRPr="00D11F89" w:rsidRDefault="00E5648D" w:rsidP="00B47B24">
            <w:pPr>
              <w:autoSpaceDE w:val="0"/>
              <w:autoSpaceDN w:val="0"/>
              <w:adjustRightInd w:val="0"/>
              <w:jc w:val="center"/>
            </w:pPr>
            <w:r>
              <w:rPr>
                <w:color w:val="000000"/>
                <w:lang w:val="es-ES" w:bidi="es-ES"/>
              </w:rPr>
              <w:t>22.271</w:t>
            </w:r>
          </w:p>
        </w:tc>
        <w:tc>
          <w:tcPr>
            <w:tcW w:w="864" w:type="dxa"/>
            <w:vAlign w:val="center"/>
          </w:tcPr>
          <w:p w14:paraId="60C1AF94" w14:textId="77777777" w:rsidR="00B47B24" w:rsidRPr="00D11F89" w:rsidRDefault="00E5648D" w:rsidP="00B47B24">
            <w:pPr>
              <w:autoSpaceDE w:val="0"/>
              <w:autoSpaceDN w:val="0"/>
              <w:adjustRightInd w:val="0"/>
              <w:jc w:val="center"/>
            </w:pPr>
            <w:r>
              <w:rPr>
                <w:color w:val="000000"/>
                <w:lang w:val="es-ES" w:bidi="es-ES"/>
              </w:rPr>
              <w:t>1.078</w:t>
            </w:r>
          </w:p>
        </w:tc>
        <w:tc>
          <w:tcPr>
            <w:tcW w:w="956" w:type="dxa"/>
            <w:vAlign w:val="center"/>
          </w:tcPr>
          <w:p w14:paraId="0179A70C" w14:textId="77777777" w:rsidR="00B47B24" w:rsidRPr="00D11F89" w:rsidRDefault="00E5648D" w:rsidP="00B47B24">
            <w:pPr>
              <w:autoSpaceDE w:val="0"/>
              <w:autoSpaceDN w:val="0"/>
              <w:adjustRightInd w:val="0"/>
              <w:jc w:val="center"/>
            </w:pPr>
            <w:r>
              <w:rPr>
                <w:color w:val="000000"/>
                <w:lang w:val="es-ES" w:bidi="es-ES"/>
              </w:rPr>
              <w:t>5.09%</w:t>
            </w:r>
          </w:p>
        </w:tc>
      </w:tr>
      <w:tr w:rsidR="006E61D7" w14:paraId="462AC7B4" w14:textId="77777777" w:rsidTr="00D52A80">
        <w:trPr>
          <w:trHeight w:val="263"/>
          <w:jc w:val="center"/>
        </w:trPr>
        <w:tc>
          <w:tcPr>
            <w:tcW w:w="1304" w:type="dxa"/>
            <w:vAlign w:val="center"/>
          </w:tcPr>
          <w:p w14:paraId="27C1096D" w14:textId="77777777" w:rsidR="00B47B24" w:rsidRPr="00D11F89" w:rsidRDefault="00E5648D" w:rsidP="00B47B24">
            <w:pPr>
              <w:autoSpaceDE w:val="0"/>
              <w:autoSpaceDN w:val="0"/>
              <w:adjustRightInd w:val="0"/>
              <w:jc w:val="center"/>
            </w:pPr>
            <w:r w:rsidRPr="00D11F89">
              <w:rPr>
                <w:sz w:val="22"/>
                <w:szCs w:val="22"/>
                <w:lang w:val="es-ES" w:bidi="es-ES"/>
              </w:rPr>
              <w:t>Comercial pequeño</w:t>
            </w:r>
          </w:p>
        </w:tc>
        <w:tc>
          <w:tcPr>
            <w:tcW w:w="1047" w:type="dxa"/>
            <w:vAlign w:val="center"/>
          </w:tcPr>
          <w:p w14:paraId="339365CA" w14:textId="77777777" w:rsidR="00B47B24" w:rsidRPr="00D11F89" w:rsidRDefault="00E5648D" w:rsidP="00B47B24">
            <w:pPr>
              <w:autoSpaceDE w:val="0"/>
              <w:autoSpaceDN w:val="0"/>
              <w:adjustRightInd w:val="0"/>
              <w:jc w:val="center"/>
            </w:pPr>
            <w:r w:rsidRPr="00D11F89">
              <w:rPr>
                <w:lang w:val="es-ES" w:bidi="es-ES"/>
              </w:rPr>
              <w:t>24.393</w:t>
            </w:r>
          </w:p>
        </w:tc>
        <w:tc>
          <w:tcPr>
            <w:tcW w:w="1096" w:type="dxa"/>
            <w:vAlign w:val="center"/>
          </w:tcPr>
          <w:p w14:paraId="38B4C7A5" w14:textId="77777777" w:rsidR="00B47B24" w:rsidRPr="00D11F89" w:rsidRDefault="00E5648D" w:rsidP="00B47B24">
            <w:pPr>
              <w:autoSpaceDE w:val="0"/>
              <w:autoSpaceDN w:val="0"/>
              <w:adjustRightInd w:val="0"/>
              <w:jc w:val="center"/>
            </w:pPr>
            <w:r>
              <w:rPr>
                <w:color w:val="000000"/>
                <w:lang w:val="es-ES" w:bidi="es-ES"/>
              </w:rPr>
              <w:t>24.323</w:t>
            </w:r>
          </w:p>
        </w:tc>
        <w:tc>
          <w:tcPr>
            <w:tcW w:w="1096" w:type="dxa"/>
            <w:vAlign w:val="center"/>
          </w:tcPr>
          <w:p w14:paraId="0A5BCB31" w14:textId="77777777" w:rsidR="00B47B24" w:rsidRPr="00D11F89" w:rsidRDefault="00E5648D" w:rsidP="00B47B24">
            <w:pPr>
              <w:autoSpaceDE w:val="0"/>
              <w:autoSpaceDN w:val="0"/>
              <w:adjustRightInd w:val="0"/>
              <w:jc w:val="center"/>
            </w:pPr>
            <w:r>
              <w:rPr>
                <w:color w:val="000000"/>
                <w:lang w:val="es-ES" w:bidi="es-ES"/>
              </w:rPr>
              <w:t>24.029</w:t>
            </w:r>
          </w:p>
        </w:tc>
        <w:tc>
          <w:tcPr>
            <w:tcW w:w="864" w:type="dxa"/>
            <w:vAlign w:val="center"/>
          </w:tcPr>
          <w:p w14:paraId="7E8EC21B" w14:textId="77777777" w:rsidR="00B47B24" w:rsidRPr="00D11F89" w:rsidRDefault="00E5648D" w:rsidP="00B47B24">
            <w:pPr>
              <w:autoSpaceDE w:val="0"/>
              <w:autoSpaceDN w:val="0"/>
              <w:adjustRightInd w:val="0"/>
              <w:jc w:val="center"/>
            </w:pPr>
            <w:r>
              <w:rPr>
                <w:color w:val="000000"/>
                <w:lang w:val="es-ES" w:bidi="es-ES"/>
              </w:rPr>
              <w:t>-0.294</w:t>
            </w:r>
          </w:p>
        </w:tc>
        <w:tc>
          <w:tcPr>
            <w:tcW w:w="1008" w:type="dxa"/>
            <w:vAlign w:val="center"/>
          </w:tcPr>
          <w:p w14:paraId="45B98590" w14:textId="77777777" w:rsidR="00B47B24" w:rsidRPr="00D11F89" w:rsidRDefault="00E5648D" w:rsidP="00B47B24">
            <w:pPr>
              <w:autoSpaceDE w:val="0"/>
              <w:autoSpaceDN w:val="0"/>
              <w:adjustRightInd w:val="0"/>
              <w:jc w:val="center"/>
            </w:pPr>
            <w:r>
              <w:rPr>
                <w:color w:val="000000"/>
                <w:lang w:val="es-ES" w:bidi="es-ES"/>
              </w:rPr>
              <w:t>-1.21%</w:t>
            </w:r>
          </w:p>
        </w:tc>
        <w:tc>
          <w:tcPr>
            <w:tcW w:w="1096" w:type="dxa"/>
            <w:vAlign w:val="center"/>
          </w:tcPr>
          <w:p w14:paraId="7945B39C" w14:textId="77777777" w:rsidR="00B47B24" w:rsidRPr="00D11F89" w:rsidRDefault="00E5648D" w:rsidP="00B47B24">
            <w:pPr>
              <w:autoSpaceDE w:val="0"/>
              <w:autoSpaceDN w:val="0"/>
              <w:adjustRightInd w:val="0"/>
              <w:jc w:val="center"/>
            </w:pPr>
            <w:r>
              <w:rPr>
                <w:color w:val="000000"/>
                <w:lang w:val="es-ES" w:bidi="es-ES"/>
              </w:rPr>
              <w:t>24.011</w:t>
            </w:r>
          </w:p>
        </w:tc>
        <w:tc>
          <w:tcPr>
            <w:tcW w:w="864" w:type="dxa"/>
            <w:vAlign w:val="center"/>
          </w:tcPr>
          <w:p w14:paraId="020860C3" w14:textId="77777777" w:rsidR="00B47B24" w:rsidRPr="00D11F89" w:rsidRDefault="00E5648D" w:rsidP="00B47B24">
            <w:pPr>
              <w:autoSpaceDE w:val="0"/>
              <w:autoSpaceDN w:val="0"/>
              <w:adjustRightInd w:val="0"/>
              <w:jc w:val="center"/>
            </w:pPr>
            <w:r>
              <w:rPr>
                <w:color w:val="000000"/>
                <w:lang w:val="es-ES" w:bidi="es-ES"/>
              </w:rPr>
              <w:t>-0.312</w:t>
            </w:r>
          </w:p>
        </w:tc>
        <w:tc>
          <w:tcPr>
            <w:tcW w:w="956" w:type="dxa"/>
            <w:vAlign w:val="center"/>
          </w:tcPr>
          <w:p w14:paraId="1674BA56" w14:textId="77777777" w:rsidR="00B47B24" w:rsidRPr="00D11F89" w:rsidRDefault="00E5648D" w:rsidP="00B47B24">
            <w:pPr>
              <w:autoSpaceDE w:val="0"/>
              <w:autoSpaceDN w:val="0"/>
              <w:adjustRightInd w:val="0"/>
              <w:jc w:val="center"/>
            </w:pPr>
            <w:r>
              <w:rPr>
                <w:color w:val="000000"/>
                <w:lang w:val="es-ES" w:bidi="es-ES"/>
              </w:rPr>
              <w:t>-1.28%</w:t>
            </w:r>
          </w:p>
        </w:tc>
        <w:tc>
          <w:tcPr>
            <w:tcW w:w="1096" w:type="dxa"/>
            <w:vAlign w:val="center"/>
          </w:tcPr>
          <w:p w14:paraId="171D3024" w14:textId="77777777" w:rsidR="00B47B24" w:rsidRPr="00D11F89" w:rsidRDefault="00E5648D" w:rsidP="00B47B24">
            <w:pPr>
              <w:autoSpaceDE w:val="0"/>
              <w:autoSpaceDN w:val="0"/>
              <w:adjustRightInd w:val="0"/>
              <w:jc w:val="center"/>
            </w:pPr>
            <w:r>
              <w:rPr>
                <w:color w:val="000000"/>
                <w:lang w:val="es-ES" w:bidi="es-ES"/>
              </w:rPr>
              <w:t>23.993</w:t>
            </w:r>
          </w:p>
        </w:tc>
        <w:tc>
          <w:tcPr>
            <w:tcW w:w="864" w:type="dxa"/>
            <w:vAlign w:val="center"/>
          </w:tcPr>
          <w:p w14:paraId="55CC96B7" w14:textId="77777777" w:rsidR="00B47B24" w:rsidRPr="00D11F89" w:rsidRDefault="00E5648D" w:rsidP="00B47B24">
            <w:pPr>
              <w:autoSpaceDE w:val="0"/>
              <w:autoSpaceDN w:val="0"/>
              <w:adjustRightInd w:val="0"/>
              <w:jc w:val="center"/>
            </w:pPr>
            <w:r>
              <w:rPr>
                <w:color w:val="000000"/>
                <w:lang w:val="es-ES" w:bidi="es-ES"/>
              </w:rPr>
              <w:t>-0.33</w:t>
            </w:r>
          </w:p>
        </w:tc>
        <w:tc>
          <w:tcPr>
            <w:tcW w:w="956" w:type="dxa"/>
            <w:vAlign w:val="center"/>
          </w:tcPr>
          <w:p w14:paraId="24BEC8D1" w14:textId="77777777" w:rsidR="00B47B24" w:rsidRPr="00D11F89" w:rsidRDefault="00E5648D" w:rsidP="00B47B24">
            <w:pPr>
              <w:autoSpaceDE w:val="0"/>
              <w:autoSpaceDN w:val="0"/>
              <w:adjustRightInd w:val="0"/>
              <w:jc w:val="center"/>
            </w:pPr>
            <w:r>
              <w:rPr>
                <w:color w:val="000000"/>
                <w:lang w:val="es-ES" w:bidi="es-ES"/>
              </w:rPr>
              <w:t>-1.36%</w:t>
            </w:r>
          </w:p>
        </w:tc>
      </w:tr>
      <w:tr w:rsidR="006E61D7" w14:paraId="6C1241DE" w14:textId="77777777" w:rsidTr="00D52A80">
        <w:trPr>
          <w:trHeight w:val="508"/>
          <w:jc w:val="center"/>
        </w:trPr>
        <w:tc>
          <w:tcPr>
            <w:tcW w:w="1304" w:type="dxa"/>
            <w:vAlign w:val="center"/>
          </w:tcPr>
          <w:p w14:paraId="723C0CB2" w14:textId="77777777" w:rsidR="00B47B24" w:rsidRPr="00D11F89" w:rsidRDefault="00E5648D" w:rsidP="00B47B24">
            <w:pPr>
              <w:autoSpaceDE w:val="0"/>
              <w:autoSpaceDN w:val="0"/>
              <w:adjustRightInd w:val="0"/>
              <w:jc w:val="center"/>
            </w:pPr>
            <w:r w:rsidRPr="00D11F89">
              <w:rPr>
                <w:sz w:val="22"/>
                <w:szCs w:val="22"/>
                <w:lang w:val="es-ES" w:bidi="es-ES"/>
              </w:rPr>
              <w:t>Comercial e industrial mediano y grande</w:t>
            </w:r>
          </w:p>
        </w:tc>
        <w:tc>
          <w:tcPr>
            <w:tcW w:w="1047" w:type="dxa"/>
            <w:vAlign w:val="center"/>
          </w:tcPr>
          <w:p w14:paraId="04BFED5F" w14:textId="77777777" w:rsidR="00B47B24" w:rsidRPr="00D11F89" w:rsidRDefault="00E5648D" w:rsidP="00B47B24">
            <w:pPr>
              <w:autoSpaceDE w:val="0"/>
              <w:autoSpaceDN w:val="0"/>
              <w:adjustRightInd w:val="0"/>
              <w:jc w:val="center"/>
            </w:pPr>
            <w:r w:rsidRPr="00D11F89">
              <w:rPr>
                <w:lang w:val="es-ES" w:bidi="es-ES"/>
              </w:rPr>
              <w:t>19.453</w:t>
            </w:r>
          </w:p>
        </w:tc>
        <w:tc>
          <w:tcPr>
            <w:tcW w:w="1096" w:type="dxa"/>
            <w:vAlign w:val="center"/>
          </w:tcPr>
          <w:p w14:paraId="52020DC8" w14:textId="77777777" w:rsidR="00B47B24" w:rsidRPr="00D11F89" w:rsidRDefault="00E5648D" w:rsidP="00B47B24">
            <w:pPr>
              <w:autoSpaceDE w:val="0"/>
              <w:autoSpaceDN w:val="0"/>
              <w:adjustRightInd w:val="0"/>
              <w:jc w:val="center"/>
            </w:pPr>
            <w:r>
              <w:rPr>
                <w:color w:val="000000"/>
                <w:lang w:val="es-ES" w:bidi="es-ES"/>
              </w:rPr>
              <w:t>21.858</w:t>
            </w:r>
          </w:p>
        </w:tc>
        <w:tc>
          <w:tcPr>
            <w:tcW w:w="1096" w:type="dxa"/>
            <w:vAlign w:val="center"/>
          </w:tcPr>
          <w:p w14:paraId="33D79B4E" w14:textId="77777777" w:rsidR="00B47B24" w:rsidRPr="00D11F89" w:rsidRDefault="00E5648D" w:rsidP="00B47B24">
            <w:pPr>
              <w:autoSpaceDE w:val="0"/>
              <w:autoSpaceDN w:val="0"/>
              <w:adjustRightInd w:val="0"/>
              <w:jc w:val="center"/>
            </w:pPr>
            <w:r>
              <w:rPr>
                <w:color w:val="000000"/>
                <w:lang w:val="es-ES" w:bidi="es-ES"/>
              </w:rPr>
              <w:t>21.325</w:t>
            </w:r>
          </w:p>
        </w:tc>
        <w:tc>
          <w:tcPr>
            <w:tcW w:w="864" w:type="dxa"/>
            <w:vAlign w:val="center"/>
          </w:tcPr>
          <w:p w14:paraId="716DDD85" w14:textId="77777777" w:rsidR="00B47B24" w:rsidRPr="00D11F89" w:rsidRDefault="00E5648D" w:rsidP="00B47B24">
            <w:pPr>
              <w:autoSpaceDE w:val="0"/>
              <w:autoSpaceDN w:val="0"/>
              <w:adjustRightInd w:val="0"/>
              <w:jc w:val="center"/>
            </w:pPr>
            <w:r>
              <w:rPr>
                <w:color w:val="000000"/>
                <w:lang w:val="es-ES" w:bidi="es-ES"/>
              </w:rPr>
              <w:t>-0.533</w:t>
            </w:r>
          </w:p>
        </w:tc>
        <w:tc>
          <w:tcPr>
            <w:tcW w:w="1008" w:type="dxa"/>
            <w:vAlign w:val="center"/>
          </w:tcPr>
          <w:p w14:paraId="1ED81D85" w14:textId="77777777" w:rsidR="00B47B24" w:rsidRPr="00D11F89" w:rsidRDefault="00E5648D" w:rsidP="00B47B24">
            <w:pPr>
              <w:autoSpaceDE w:val="0"/>
              <w:autoSpaceDN w:val="0"/>
              <w:adjustRightInd w:val="0"/>
              <w:jc w:val="center"/>
            </w:pPr>
            <w:r>
              <w:rPr>
                <w:color w:val="000000"/>
                <w:lang w:val="es-ES" w:bidi="es-ES"/>
              </w:rPr>
              <w:t>-2.44%</w:t>
            </w:r>
          </w:p>
        </w:tc>
        <w:tc>
          <w:tcPr>
            <w:tcW w:w="1096" w:type="dxa"/>
            <w:vAlign w:val="center"/>
          </w:tcPr>
          <w:p w14:paraId="63F147DD" w14:textId="77777777" w:rsidR="00B47B24" w:rsidRPr="00D11F89" w:rsidRDefault="00E5648D" w:rsidP="00B47B24">
            <w:pPr>
              <w:autoSpaceDE w:val="0"/>
              <w:autoSpaceDN w:val="0"/>
              <w:adjustRightInd w:val="0"/>
              <w:jc w:val="center"/>
            </w:pPr>
            <w:r>
              <w:rPr>
                <w:color w:val="000000"/>
                <w:lang w:val="es-ES" w:bidi="es-ES"/>
              </w:rPr>
              <w:t>21.135</w:t>
            </w:r>
          </w:p>
        </w:tc>
        <w:tc>
          <w:tcPr>
            <w:tcW w:w="864" w:type="dxa"/>
            <w:vAlign w:val="center"/>
          </w:tcPr>
          <w:p w14:paraId="3A5ECD3D" w14:textId="77777777" w:rsidR="00B47B24" w:rsidRPr="00D11F89" w:rsidRDefault="00E5648D" w:rsidP="00B47B24">
            <w:pPr>
              <w:autoSpaceDE w:val="0"/>
              <w:autoSpaceDN w:val="0"/>
              <w:adjustRightInd w:val="0"/>
              <w:jc w:val="center"/>
            </w:pPr>
            <w:r>
              <w:rPr>
                <w:color w:val="000000"/>
                <w:lang w:val="es-ES" w:bidi="es-ES"/>
              </w:rPr>
              <w:t>-0.723</w:t>
            </w:r>
          </w:p>
        </w:tc>
        <w:tc>
          <w:tcPr>
            <w:tcW w:w="956" w:type="dxa"/>
            <w:vAlign w:val="center"/>
          </w:tcPr>
          <w:p w14:paraId="61F482D6" w14:textId="77777777" w:rsidR="00B47B24" w:rsidRPr="00D11F89" w:rsidRDefault="00E5648D" w:rsidP="00B47B24">
            <w:pPr>
              <w:autoSpaceDE w:val="0"/>
              <w:autoSpaceDN w:val="0"/>
              <w:adjustRightInd w:val="0"/>
              <w:jc w:val="center"/>
            </w:pPr>
            <w:r>
              <w:rPr>
                <w:color w:val="000000"/>
                <w:lang w:val="es-ES" w:bidi="es-ES"/>
              </w:rPr>
              <w:t>-3.31%</w:t>
            </w:r>
          </w:p>
        </w:tc>
        <w:tc>
          <w:tcPr>
            <w:tcW w:w="1096" w:type="dxa"/>
            <w:vAlign w:val="center"/>
          </w:tcPr>
          <w:p w14:paraId="7C4C383C" w14:textId="77777777" w:rsidR="00B47B24" w:rsidRPr="00D11F89" w:rsidRDefault="00E5648D" w:rsidP="00B47B24">
            <w:pPr>
              <w:autoSpaceDE w:val="0"/>
              <w:autoSpaceDN w:val="0"/>
              <w:adjustRightInd w:val="0"/>
              <w:jc w:val="center"/>
            </w:pPr>
            <w:r>
              <w:rPr>
                <w:color w:val="000000"/>
                <w:lang w:val="es-ES" w:bidi="es-ES"/>
              </w:rPr>
              <w:t>20.944</w:t>
            </w:r>
          </w:p>
        </w:tc>
        <w:tc>
          <w:tcPr>
            <w:tcW w:w="864" w:type="dxa"/>
            <w:vAlign w:val="center"/>
          </w:tcPr>
          <w:p w14:paraId="1316569A" w14:textId="77777777" w:rsidR="00B47B24" w:rsidRPr="00D11F89" w:rsidRDefault="00E5648D" w:rsidP="00B47B24">
            <w:pPr>
              <w:autoSpaceDE w:val="0"/>
              <w:autoSpaceDN w:val="0"/>
              <w:adjustRightInd w:val="0"/>
              <w:jc w:val="center"/>
            </w:pPr>
            <w:r>
              <w:rPr>
                <w:color w:val="000000"/>
                <w:lang w:val="es-ES" w:bidi="es-ES"/>
              </w:rPr>
              <w:t>-0.914</w:t>
            </w:r>
          </w:p>
        </w:tc>
        <w:tc>
          <w:tcPr>
            <w:tcW w:w="956" w:type="dxa"/>
            <w:vAlign w:val="center"/>
          </w:tcPr>
          <w:p w14:paraId="5B050EB6" w14:textId="77777777" w:rsidR="00B47B24" w:rsidRPr="00D11F89" w:rsidRDefault="00E5648D" w:rsidP="00B47B24">
            <w:pPr>
              <w:autoSpaceDE w:val="0"/>
              <w:autoSpaceDN w:val="0"/>
              <w:adjustRightInd w:val="0"/>
              <w:jc w:val="center"/>
            </w:pPr>
            <w:r>
              <w:rPr>
                <w:color w:val="000000"/>
                <w:lang w:val="es-ES" w:bidi="es-ES"/>
              </w:rPr>
              <w:t>-4.18%</w:t>
            </w:r>
          </w:p>
        </w:tc>
      </w:tr>
      <w:tr w:rsidR="006E61D7" w14:paraId="420B54D9" w14:textId="77777777" w:rsidTr="00D52A80">
        <w:trPr>
          <w:trHeight w:val="263"/>
          <w:jc w:val="center"/>
        </w:trPr>
        <w:tc>
          <w:tcPr>
            <w:tcW w:w="1304" w:type="dxa"/>
            <w:vAlign w:val="center"/>
          </w:tcPr>
          <w:p w14:paraId="1375D51E" w14:textId="77777777" w:rsidR="00B47B24" w:rsidRPr="00D11F89" w:rsidRDefault="00E5648D" w:rsidP="00B47B24">
            <w:pPr>
              <w:autoSpaceDE w:val="0"/>
              <w:autoSpaceDN w:val="0"/>
              <w:adjustRightInd w:val="0"/>
              <w:jc w:val="center"/>
            </w:pPr>
            <w:r w:rsidRPr="00D11F89">
              <w:rPr>
                <w:sz w:val="22"/>
                <w:szCs w:val="22"/>
                <w:lang w:val="es-ES" w:bidi="es-ES"/>
              </w:rPr>
              <w:t>Agrícola</w:t>
            </w:r>
          </w:p>
        </w:tc>
        <w:tc>
          <w:tcPr>
            <w:tcW w:w="1047" w:type="dxa"/>
            <w:vAlign w:val="center"/>
          </w:tcPr>
          <w:p w14:paraId="2A7D8FEE" w14:textId="77777777" w:rsidR="00B47B24" w:rsidRPr="00D11F89" w:rsidRDefault="00E5648D" w:rsidP="00B47B24">
            <w:pPr>
              <w:autoSpaceDE w:val="0"/>
              <w:autoSpaceDN w:val="0"/>
              <w:adjustRightInd w:val="0"/>
              <w:jc w:val="center"/>
            </w:pPr>
            <w:r w:rsidRPr="00D11F89">
              <w:rPr>
                <w:lang w:val="es-ES" w:bidi="es-ES"/>
              </w:rPr>
              <w:t>17.558</w:t>
            </w:r>
          </w:p>
        </w:tc>
        <w:tc>
          <w:tcPr>
            <w:tcW w:w="1096" w:type="dxa"/>
            <w:vAlign w:val="center"/>
          </w:tcPr>
          <w:p w14:paraId="2E07617F" w14:textId="77777777" w:rsidR="00B47B24" w:rsidRPr="00D11F89" w:rsidRDefault="00E5648D" w:rsidP="00B47B24">
            <w:pPr>
              <w:autoSpaceDE w:val="0"/>
              <w:autoSpaceDN w:val="0"/>
              <w:adjustRightInd w:val="0"/>
              <w:jc w:val="center"/>
            </w:pPr>
            <w:r>
              <w:rPr>
                <w:color w:val="000000"/>
                <w:lang w:val="es-ES" w:bidi="es-ES"/>
              </w:rPr>
              <w:t>16.475</w:t>
            </w:r>
          </w:p>
        </w:tc>
        <w:tc>
          <w:tcPr>
            <w:tcW w:w="1096" w:type="dxa"/>
            <w:vAlign w:val="center"/>
          </w:tcPr>
          <w:p w14:paraId="6C341C47" w14:textId="77777777" w:rsidR="00B47B24" w:rsidRPr="00D11F89" w:rsidRDefault="00E5648D" w:rsidP="00B47B24">
            <w:pPr>
              <w:autoSpaceDE w:val="0"/>
              <w:autoSpaceDN w:val="0"/>
              <w:adjustRightInd w:val="0"/>
              <w:jc w:val="center"/>
            </w:pPr>
            <w:r>
              <w:rPr>
                <w:color w:val="000000"/>
                <w:lang w:val="es-ES" w:bidi="es-ES"/>
              </w:rPr>
              <w:t>18.477</w:t>
            </w:r>
          </w:p>
        </w:tc>
        <w:tc>
          <w:tcPr>
            <w:tcW w:w="864" w:type="dxa"/>
            <w:vAlign w:val="center"/>
          </w:tcPr>
          <w:p w14:paraId="262DB326" w14:textId="77777777" w:rsidR="00B47B24" w:rsidRPr="00D11F89" w:rsidRDefault="00E5648D" w:rsidP="00B47B24">
            <w:pPr>
              <w:autoSpaceDE w:val="0"/>
              <w:autoSpaceDN w:val="0"/>
              <w:adjustRightInd w:val="0"/>
              <w:jc w:val="center"/>
            </w:pPr>
            <w:r>
              <w:rPr>
                <w:color w:val="000000"/>
                <w:lang w:val="es-ES" w:bidi="es-ES"/>
              </w:rPr>
              <w:t>2.002</w:t>
            </w:r>
          </w:p>
        </w:tc>
        <w:tc>
          <w:tcPr>
            <w:tcW w:w="1008" w:type="dxa"/>
            <w:vAlign w:val="center"/>
          </w:tcPr>
          <w:p w14:paraId="423E8D40" w14:textId="77777777" w:rsidR="00B47B24" w:rsidRPr="00D11F89" w:rsidRDefault="00E5648D" w:rsidP="00B47B24">
            <w:pPr>
              <w:autoSpaceDE w:val="0"/>
              <w:autoSpaceDN w:val="0"/>
              <w:adjustRightInd w:val="0"/>
              <w:jc w:val="center"/>
            </w:pPr>
            <w:r>
              <w:rPr>
                <w:color w:val="000000"/>
                <w:lang w:val="es-ES" w:bidi="es-ES"/>
              </w:rPr>
              <w:t>12.15%</w:t>
            </w:r>
          </w:p>
        </w:tc>
        <w:tc>
          <w:tcPr>
            <w:tcW w:w="1096" w:type="dxa"/>
            <w:vAlign w:val="center"/>
          </w:tcPr>
          <w:p w14:paraId="74BD9EEC" w14:textId="77777777" w:rsidR="00B47B24" w:rsidRPr="00D11F89" w:rsidRDefault="00E5648D" w:rsidP="00B47B24">
            <w:pPr>
              <w:autoSpaceDE w:val="0"/>
              <w:autoSpaceDN w:val="0"/>
              <w:adjustRightInd w:val="0"/>
              <w:jc w:val="center"/>
            </w:pPr>
            <w:r>
              <w:rPr>
                <w:color w:val="000000"/>
                <w:lang w:val="es-ES" w:bidi="es-ES"/>
              </w:rPr>
              <w:t>18.064</w:t>
            </w:r>
          </w:p>
        </w:tc>
        <w:tc>
          <w:tcPr>
            <w:tcW w:w="864" w:type="dxa"/>
            <w:vAlign w:val="center"/>
          </w:tcPr>
          <w:p w14:paraId="2986B94C" w14:textId="77777777" w:rsidR="00B47B24" w:rsidRPr="00D11F89" w:rsidRDefault="00E5648D" w:rsidP="00B47B24">
            <w:pPr>
              <w:autoSpaceDE w:val="0"/>
              <w:autoSpaceDN w:val="0"/>
              <w:adjustRightInd w:val="0"/>
              <w:jc w:val="center"/>
            </w:pPr>
            <w:r>
              <w:rPr>
                <w:color w:val="000000"/>
                <w:lang w:val="es-ES" w:bidi="es-ES"/>
              </w:rPr>
              <w:t>1.589</w:t>
            </w:r>
          </w:p>
        </w:tc>
        <w:tc>
          <w:tcPr>
            <w:tcW w:w="956" w:type="dxa"/>
            <w:vAlign w:val="center"/>
          </w:tcPr>
          <w:p w14:paraId="307F724D" w14:textId="77777777" w:rsidR="00B47B24" w:rsidRPr="00D11F89" w:rsidRDefault="00E5648D" w:rsidP="00B47B24">
            <w:pPr>
              <w:autoSpaceDE w:val="0"/>
              <w:autoSpaceDN w:val="0"/>
              <w:adjustRightInd w:val="0"/>
              <w:jc w:val="center"/>
            </w:pPr>
            <w:r>
              <w:rPr>
                <w:color w:val="000000"/>
                <w:lang w:val="es-ES" w:bidi="es-ES"/>
              </w:rPr>
              <w:t>9.64%</w:t>
            </w:r>
          </w:p>
        </w:tc>
        <w:tc>
          <w:tcPr>
            <w:tcW w:w="1096" w:type="dxa"/>
            <w:vAlign w:val="center"/>
          </w:tcPr>
          <w:p w14:paraId="2450B7B6" w14:textId="77777777" w:rsidR="00B47B24" w:rsidRPr="00D11F89" w:rsidRDefault="00E5648D" w:rsidP="00B47B24">
            <w:pPr>
              <w:autoSpaceDE w:val="0"/>
              <w:autoSpaceDN w:val="0"/>
              <w:adjustRightInd w:val="0"/>
              <w:jc w:val="center"/>
            </w:pPr>
            <w:r>
              <w:rPr>
                <w:color w:val="000000"/>
                <w:lang w:val="es-ES" w:bidi="es-ES"/>
              </w:rPr>
              <w:t>17.652</w:t>
            </w:r>
          </w:p>
        </w:tc>
        <w:tc>
          <w:tcPr>
            <w:tcW w:w="864" w:type="dxa"/>
            <w:vAlign w:val="center"/>
          </w:tcPr>
          <w:p w14:paraId="47A47C63" w14:textId="77777777" w:rsidR="00B47B24" w:rsidRPr="00D11F89" w:rsidRDefault="00E5648D" w:rsidP="00B47B24">
            <w:pPr>
              <w:autoSpaceDE w:val="0"/>
              <w:autoSpaceDN w:val="0"/>
              <w:adjustRightInd w:val="0"/>
              <w:jc w:val="center"/>
            </w:pPr>
            <w:r>
              <w:rPr>
                <w:color w:val="000000"/>
                <w:lang w:val="es-ES" w:bidi="es-ES"/>
              </w:rPr>
              <w:t>1.177</w:t>
            </w:r>
          </w:p>
        </w:tc>
        <w:tc>
          <w:tcPr>
            <w:tcW w:w="956" w:type="dxa"/>
            <w:vAlign w:val="center"/>
          </w:tcPr>
          <w:p w14:paraId="0C44AF72" w14:textId="77777777" w:rsidR="00B47B24" w:rsidRPr="00D11F89" w:rsidRDefault="00E5648D" w:rsidP="00B47B24">
            <w:pPr>
              <w:autoSpaceDE w:val="0"/>
              <w:autoSpaceDN w:val="0"/>
              <w:adjustRightInd w:val="0"/>
              <w:jc w:val="center"/>
            </w:pPr>
            <w:r>
              <w:rPr>
                <w:color w:val="000000"/>
                <w:lang w:val="es-ES" w:bidi="es-ES"/>
              </w:rPr>
              <w:t>7.14%</w:t>
            </w:r>
          </w:p>
        </w:tc>
      </w:tr>
      <w:tr w:rsidR="006E61D7" w14:paraId="7C404F8A" w14:textId="77777777" w:rsidTr="00D52A80">
        <w:trPr>
          <w:trHeight w:val="247"/>
          <w:jc w:val="center"/>
        </w:trPr>
        <w:tc>
          <w:tcPr>
            <w:tcW w:w="1304" w:type="dxa"/>
            <w:vAlign w:val="center"/>
          </w:tcPr>
          <w:p w14:paraId="47C2D7A8" w14:textId="77777777" w:rsidR="00B47B24" w:rsidRPr="00D11F89" w:rsidRDefault="00E5648D" w:rsidP="00B47B24">
            <w:pPr>
              <w:autoSpaceDE w:val="0"/>
              <w:autoSpaceDN w:val="0"/>
              <w:adjustRightInd w:val="0"/>
              <w:jc w:val="center"/>
            </w:pPr>
            <w:r w:rsidRPr="00D11F89">
              <w:rPr>
                <w:sz w:val="22"/>
                <w:szCs w:val="22"/>
                <w:lang w:val="es-ES" w:bidi="es-ES"/>
              </w:rPr>
              <w:t>Iluminación</w:t>
            </w:r>
          </w:p>
        </w:tc>
        <w:tc>
          <w:tcPr>
            <w:tcW w:w="1047" w:type="dxa"/>
            <w:vAlign w:val="center"/>
          </w:tcPr>
          <w:p w14:paraId="18D8252B" w14:textId="77777777" w:rsidR="00B47B24" w:rsidRPr="00D11F89" w:rsidRDefault="00E5648D" w:rsidP="00B47B24">
            <w:pPr>
              <w:autoSpaceDE w:val="0"/>
              <w:autoSpaceDN w:val="0"/>
              <w:adjustRightInd w:val="0"/>
              <w:jc w:val="center"/>
            </w:pPr>
            <w:r w:rsidRPr="00D11F89">
              <w:rPr>
                <w:lang w:val="es-ES" w:bidi="es-ES"/>
              </w:rPr>
              <w:t>18.016</w:t>
            </w:r>
          </w:p>
        </w:tc>
        <w:tc>
          <w:tcPr>
            <w:tcW w:w="1096" w:type="dxa"/>
            <w:vAlign w:val="center"/>
          </w:tcPr>
          <w:p w14:paraId="3716B3FE" w14:textId="77777777" w:rsidR="00B47B24" w:rsidRPr="00D11F89" w:rsidRDefault="00E5648D" w:rsidP="00B47B24">
            <w:pPr>
              <w:autoSpaceDE w:val="0"/>
              <w:autoSpaceDN w:val="0"/>
              <w:adjustRightInd w:val="0"/>
              <w:jc w:val="center"/>
            </w:pPr>
            <w:r>
              <w:rPr>
                <w:color w:val="000000"/>
                <w:lang w:val="es-ES" w:bidi="es-ES"/>
              </w:rPr>
              <w:t>18.017</w:t>
            </w:r>
          </w:p>
        </w:tc>
        <w:tc>
          <w:tcPr>
            <w:tcW w:w="1096" w:type="dxa"/>
            <w:vAlign w:val="center"/>
          </w:tcPr>
          <w:p w14:paraId="7D03FB26" w14:textId="77777777" w:rsidR="00B47B24" w:rsidRPr="00D11F89" w:rsidRDefault="00E5648D" w:rsidP="00B47B24">
            <w:pPr>
              <w:autoSpaceDE w:val="0"/>
              <w:autoSpaceDN w:val="0"/>
              <w:adjustRightInd w:val="0"/>
              <w:jc w:val="center"/>
            </w:pPr>
            <w:r>
              <w:rPr>
                <w:color w:val="000000"/>
                <w:lang w:val="es-ES" w:bidi="es-ES"/>
              </w:rPr>
              <w:t>21.334</w:t>
            </w:r>
          </w:p>
        </w:tc>
        <w:tc>
          <w:tcPr>
            <w:tcW w:w="864" w:type="dxa"/>
            <w:vAlign w:val="center"/>
          </w:tcPr>
          <w:p w14:paraId="1CC6E5E1" w14:textId="77777777" w:rsidR="00B47B24" w:rsidRPr="00D11F89" w:rsidRDefault="00E5648D" w:rsidP="00B47B24">
            <w:pPr>
              <w:autoSpaceDE w:val="0"/>
              <w:autoSpaceDN w:val="0"/>
              <w:adjustRightInd w:val="0"/>
              <w:jc w:val="center"/>
            </w:pPr>
            <w:r>
              <w:rPr>
                <w:color w:val="000000"/>
                <w:lang w:val="es-ES" w:bidi="es-ES"/>
              </w:rPr>
              <w:t>3.317</w:t>
            </w:r>
          </w:p>
        </w:tc>
        <w:tc>
          <w:tcPr>
            <w:tcW w:w="1008" w:type="dxa"/>
            <w:vAlign w:val="center"/>
          </w:tcPr>
          <w:p w14:paraId="156DB2FF" w14:textId="77777777" w:rsidR="00B47B24" w:rsidRPr="00D11F89" w:rsidRDefault="00E5648D" w:rsidP="00B47B24">
            <w:pPr>
              <w:autoSpaceDE w:val="0"/>
              <w:autoSpaceDN w:val="0"/>
              <w:adjustRightInd w:val="0"/>
              <w:jc w:val="center"/>
            </w:pPr>
            <w:r>
              <w:rPr>
                <w:color w:val="000000"/>
                <w:lang w:val="es-ES" w:bidi="es-ES"/>
              </w:rPr>
              <w:t>18.41%</w:t>
            </w:r>
          </w:p>
        </w:tc>
        <w:tc>
          <w:tcPr>
            <w:tcW w:w="1096" w:type="dxa"/>
            <w:vAlign w:val="center"/>
          </w:tcPr>
          <w:p w14:paraId="2C789457" w14:textId="77777777" w:rsidR="00B47B24" w:rsidRPr="00D11F89" w:rsidRDefault="00E5648D" w:rsidP="00B47B24">
            <w:pPr>
              <w:autoSpaceDE w:val="0"/>
              <w:autoSpaceDN w:val="0"/>
              <w:adjustRightInd w:val="0"/>
              <w:jc w:val="center"/>
            </w:pPr>
            <w:r>
              <w:rPr>
                <w:color w:val="000000"/>
                <w:lang w:val="es-ES" w:bidi="es-ES"/>
              </w:rPr>
              <w:t>21.128</w:t>
            </w:r>
          </w:p>
        </w:tc>
        <w:tc>
          <w:tcPr>
            <w:tcW w:w="864" w:type="dxa"/>
            <w:vAlign w:val="center"/>
          </w:tcPr>
          <w:p w14:paraId="28DF8DD2" w14:textId="77777777" w:rsidR="00B47B24" w:rsidRPr="00D11F89" w:rsidRDefault="00E5648D" w:rsidP="00B47B24">
            <w:pPr>
              <w:autoSpaceDE w:val="0"/>
              <w:autoSpaceDN w:val="0"/>
              <w:adjustRightInd w:val="0"/>
              <w:jc w:val="center"/>
            </w:pPr>
            <w:r>
              <w:rPr>
                <w:color w:val="000000"/>
                <w:lang w:val="es-ES" w:bidi="es-ES"/>
              </w:rPr>
              <w:t>3.111</w:t>
            </w:r>
          </w:p>
        </w:tc>
        <w:tc>
          <w:tcPr>
            <w:tcW w:w="956" w:type="dxa"/>
            <w:vAlign w:val="center"/>
          </w:tcPr>
          <w:p w14:paraId="23507E51" w14:textId="77777777" w:rsidR="00B47B24" w:rsidRPr="00D11F89" w:rsidRDefault="00E5648D" w:rsidP="00B47B24">
            <w:pPr>
              <w:autoSpaceDE w:val="0"/>
              <w:autoSpaceDN w:val="0"/>
              <w:adjustRightInd w:val="0"/>
              <w:jc w:val="center"/>
            </w:pPr>
            <w:r>
              <w:rPr>
                <w:color w:val="000000"/>
                <w:lang w:val="es-ES" w:bidi="es-ES"/>
              </w:rPr>
              <w:t>17.27%</w:t>
            </w:r>
          </w:p>
        </w:tc>
        <w:tc>
          <w:tcPr>
            <w:tcW w:w="1096" w:type="dxa"/>
            <w:vAlign w:val="center"/>
          </w:tcPr>
          <w:p w14:paraId="620AB8C6" w14:textId="77777777" w:rsidR="00B47B24" w:rsidRPr="00D11F89" w:rsidRDefault="00E5648D" w:rsidP="00B47B24">
            <w:pPr>
              <w:autoSpaceDE w:val="0"/>
              <w:autoSpaceDN w:val="0"/>
              <w:adjustRightInd w:val="0"/>
              <w:jc w:val="center"/>
            </w:pPr>
            <w:r>
              <w:rPr>
                <w:color w:val="000000"/>
                <w:lang w:val="es-ES" w:bidi="es-ES"/>
              </w:rPr>
              <w:t>20.921</w:t>
            </w:r>
          </w:p>
        </w:tc>
        <w:tc>
          <w:tcPr>
            <w:tcW w:w="864" w:type="dxa"/>
            <w:vAlign w:val="center"/>
          </w:tcPr>
          <w:p w14:paraId="505F6B7B" w14:textId="77777777" w:rsidR="00B47B24" w:rsidRPr="00D11F89" w:rsidRDefault="00E5648D" w:rsidP="00B47B24">
            <w:pPr>
              <w:autoSpaceDE w:val="0"/>
              <w:autoSpaceDN w:val="0"/>
              <w:adjustRightInd w:val="0"/>
              <w:jc w:val="center"/>
            </w:pPr>
            <w:r>
              <w:rPr>
                <w:color w:val="000000"/>
                <w:lang w:val="es-ES" w:bidi="es-ES"/>
              </w:rPr>
              <w:t>2.904</w:t>
            </w:r>
          </w:p>
        </w:tc>
        <w:tc>
          <w:tcPr>
            <w:tcW w:w="956" w:type="dxa"/>
            <w:vAlign w:val="center"/>
          </w:tcPr>
          <w:p w14:paraId="77AB2892" w14:textId="77777777" w:rsidR="00B47B24" w:rsidRPr="00D11F89" w:rsidRDefault="00E5648D" w:rsidP="00B47B24">
            <w:pPr>
              <w:autoSpaceDE w:val="0"/>
              <w:autoSpaceDN w:val="0"/>
              <w:adjustRightInd w:val="0"/>
              <w:jc w:val="center"/>
            </w:pPr>
            <w:r>
              <w:rPr>
                <w:color w:val="000000"/>
                <w:lang w:val="es-ES" w:bidi="es-ES"/>
              </w:rPr>
              <w:t>16.12%</w:t>
            </w:r>
          </w:p>
        </w:tc>
      </w:tr>
      <w:tr w:rsidR="006E61D7" w14:paraId="6544968F" w14:textId="77777777" w:rsidTr="00D52A80">
        <w:trPr>
          <w:trHeight w:val="278"/>
          <w:jc w:val="center"/>
        </w:trPr>
        <w:tc>
          <w:tcPr>
            <w:tcW w:w="1304" w:type="dxa"/>
            <w:vAlign w:val="center"/>
          </w:tcPr>
          <w:p w14:paraId="4A384D8E" w14:textId="77777777" w:rsidR="00B47B24" w:rsidRPr="00D11F89" w:rsidRDefault="00E5648D" w:rsidP="00B47B24">
            <w:pPr>
              <w:autoSpaceDE w:val="0"/>
              <w:autoSpaceDN w:val="0"/>
              <w:adjustRightInd w:val="0"/>
              <w:jc w:val="center"/>
            </w:pPr>
            <w:r w:rsidRPr="00D11F89">
              <w:rPr>
                <w:sz w:val="22"/>
                <w:szCs w:val="22"/>
                <w:lang w:val="es-ES" w:bidi="es-ES"/>
              </w:rPr>
              <w:t>Total del sistema</w:t>
            </w:r>
          </w:p>
        </w:tc>
        <w:tc>
          <w:tcPr>
            <w:tcW w:w="1047" w:type="dxa"/>
            <w:vAlign w:val="center"/>
          </w:tcPr>
          <w:p w14:paraId="6D041421" w14:textId="77777777" w:rsidR="00B47B24" w:rsidRPr="00D11F89" w:rsidRDefault="00E5648D" w:rsidP="00B47B24">
            <w:pPr>
              <w:autoSpaceDE w:val="0"/>
              <w:autoSpaceDN w:val="0"/>
              <w:adjustRightInd w:val="0"/>
              <w:jc w:val="center"/>
            </w:pPr>
            <w:r w:rsidRPr="00D11F89">
              <w:rPr>
                <w:lang w:val="es-ES" w:bidi="es-ES"/>
              </w:rPr>
              <w:t>20.849</w:t>
            </w:r>
          </w:p>
        </w:tc>
        <w:tc>
          <w:tcPr>
            <w:tcW w:w="1096" w:type="dxa"/>
            <w:vAlign w:val="center"/>
          </w:tcPr>
          <w:p w14:paraId="50852422" w14:textId="77777777" w:rsidR="00B47B24" w:rsidRPr="00D11F89" w:rsidRDefault="00E5648D" w:rsidP="00B47B24">
            <w:pPr>
              <w:autoSpaceDE w:val="0"/>
              <w:autoSpaceDN w:val="0"/>
              <w:adjustRightInd w:val="0"/>
              <w:jc w:val="center"/>
            </w:pPr>
            <w:r>
              <w:rPr>
                <w:color w:val="000000"/>
                <w:lang w:val="es-ES" w:bidi="es-ES"/>
              </w:rPr>
              <w:t>21.692</w:t>
            </w:r>
          </w:p>
        </w:tc>
        <w:tc>
          <w:tcPr>
            <w:tcW w:w="1096" w:type="dxa"/>
            <w:vAlign w:val="center"/>
          </w:tcPr>
          <w:p w14:paraId="1EC806CB" w14:textId="77777777" w:rsidR="00B47B24" w:rsidRPr="00D11F89" w:rsidRDefault="00E5648D" w:rsidP="00B47B24">
            <w:pPr>
              <w:autoSpaceDE w:val="0"/>
              <w:autoSpaceDN w:val="0"/>
              <w:adjustRightInd w:val="0"/>
              <w:jc w:val="center"/>
            </w:pPr>
            <w:r>
              <w:rPr>
                <w:color w:val="000000"/>
                <w:lang w:val="es-ES" w:bidi="es-ES"/>
              </w:rPr>
              <w:t>21.692</w:t>
            </w:r>
          </w:p>
        </w:tc>
        <w:tc>
          <w:tcPr>
            <w:tcW w:w="864" w:type="dxa"/>
            <w:vAlign w:val="center"/>
          </w:tcPr>
          <w:p w14:paraId="7AB9566F" w14:textId="77777777" w:rsidR="00B47B24" w:rsidRPr="00D11F89" w:rsidRDefault="00E5648D" w:rsidP="00B47B24">
            <w:pPr>
              <w:autoSpaceDE w:val="0"/>
              <w:autoSpaceDN w:val="0"/>
              <w:adjustRightInd w:val="0"/>
              <w:jc w:val="center"/>
            </w:pPr>
            <w:r>
              <w:rPr>
                <w:color w:val="000000"/>
                <w:lang w:val="es-ES" w:bidi="es-ES"/>
              </w:rPr>
              <w:t>0.000</w:t>
            </w:r>
          </w:p>
        </w:tc>
        <w:tc>
          <w:tcPr>
            <w:tcW w:w="1008" w:type="dxa"/>
            <w:vAlign w:val="center"/>
          </w:tcPr>
          <w:p w14:paraId="3335E579" w14:textId="77777777" w:rsidR="00B47B24" w:rsidRPr="00D11F89" w:rsidRDefault="00E5648D" w:rsidP="00B47B24">
            <w:pPr>
              <w:autoSpaceDE w:val="0"/>
              <w:autoSpaceDN w:val="0"/>
              <w:adjustRightInd w:val="0"/>
              <w:jc w:val="center"/>
            </w:pPr>
            <w:r>
              <w:rPr>
                <w:color w:val="000000"/>
                <w:lang w:val="es-ES" w:bidi="es-ES"/>
              </w:rPr>
              <w:t>0.00%</w:t>
            </w:r>
          </w:p>
        </w:tc>
        <w:tc>
          <w:tcPr>
            <w:tcW w:w="1096" w:type="dxa"/>
            <w:vAlign w:val="center"/>
          </w:tcPr>
          <w:p w14:paraId="35B12441" w14:textId="77777777" w:rsidR="00B47B24" w:rsidRPr="00D11F89" w:rsidRDefault="00E5648D" w:rsidP="00B47B24">
            <w:pPr>
              <w:autoSpaceDE w:val="0"/>
              <w:autoSpaceDN w:val="0"/>
              <w:adjustRightInd w:val="0"/>
              <w:jc w:val="center"/>
            </w:pPr>
            <w:r>
              <w:rPr>
                <w:color w:val="000000"/>
                <w:lang w:val="es-ES" w:bidi="es-ES"/>
              </w:rPr>
              <w:t>21.693</w:t>
            </w:r>
          </w:p>
        </w:tc>
        <w:tc>
          <w:tcPr>
            <w:tcW w:w="864" w:type="dxa"/>
            <w:vAlign w:val="center"/>
          </w:tcPr>
          <w:p w14:paraId="67C8AE86" w14:textId="77777777" w:rsidR="00B47B24" w:rsidRPr="00D11F89" w:rsidRDefault="00E5648D" w:rsidP="00B47B24">
            <w:pPr>
              <w:autoSpaceDE w:val="0"/>
              <w:autoSpaceDN w:val="0"/>
              <w:adjustRightInd w:val="0"/>
              <w:jc w:val="center"/>
            </w:pPr>
            <w:r>
              <w:rPr>
                <w:color w:val="000000"/>
                <w:lang w:val="es-ES" w:bidi="es-ES"/>
              </w:rPr>
              <w:t>0.001</w:t>
            </w:r>
          </w:p>
        </w:tc>
        <w:tc>
          <w:tcPr>
            <w:tcW w:w="956" w:type="dxa"/>
            <w:vAlign w:val="center"/>
          </w:tcPr>
          <w:p w14:paraId="18DC2D83" w14:textId="77777777" w:rsidR="00B47B24" w:rsidRPr="00D11F89" w:rsidRDefault="00E5648D" w:rsidP="00B47B24">
            <w:pPr>
              <w:autoSpaceDE w:val="0"/>
              <w:autoSpaceDN w:val="0"/>
              <w:adjustRightInd w:val="0"/>
              <w:jc w:val="center"/>
            </w:pPr>
            <w:r>
              <w:rPr>
                <w:color w:val="000000"/>
                <w:lang w:val="es-ES" w:bidi="es-ES"/>
              </w:rPr>
              <w:t>0.00%</w:t>
            </w:r>
          </w:p>
        </w:tc>
        <w:tc>
          <w:tcPr>
            <w:tcW w:w="1096" w:type="dxa"/>
            <w:vAlign w:val="center"/>
          </w:tcPr>
          <w:p w14:paraId="51CAC478" w14:textId="77777777" w:rsidR="00B47B24" w:rsidRPr="00D11F89" w:rsidRDefault="00E5648D" w:rsidP="00B47B24">
            <w:pPr>
              <w:autoSpaceDE w:val="0"/>
              <w:autoSpaceDN w:val="0"/>
              <w:adjustRightInd w:val="0"/>
              <w:jc w:val="center"/>
            </w:pPr>
            <w:r>
              <w:rPr>
                <w:color w:val="000000"/>
                <w:lang w:val="es-ES" w:bidi="es-ES"/>
              </w:rPr>
              <w:t>21.694</w:t>
            </w:r>
          </w:p>
        </w:tc>
        <w:tc>
          <w:tcPr>
            <w:tcW w:w="864" w:type="dxa"/>
            <w:vAlign w:val="center"/>
          </w:tcPr>
          <w:p w14:paraId="6AE00D2D" w14:textId="77777777" w:rsidR="00B47B24" w:rsidRPr="00D11F89" w:rsidRDefault="00E5648D" w:rsidP="00B47B24">
            <w:pPr>
              <w:autoSpaceDE w:val="0"/>
              <w:autoSpaceDN w:val="0"/>
              <w:adjustRightInd w:val="0"/>
              <w:jc w:val="center"/>
            </w:pPr>
            <w:r>
              <w:rPr>
                <w:color w:val="000000"/>
                <w:lang w:val="es-ES" w:bidi="es-ES"/>
              </w:rPr>
              <w:t>0.002</w:t>
            </w:r>
          </w:p>
        </w:tc>
        <w:tc>
          <w:tcPr>
            <w:tcW w:w="956" w:type="dxa"/>
            <w:vAlign w:val="center"/>
          </w:tcPr>
          <w:p w14:paraId="30667288" w14:textId="77777777" w:rsidR="00B47B24" w:rsidRPr="00D11F89" w:rsidRDefault="00E5648D" w:rsidP="00B47B24">
            <w:pPr>
              <w:autoSpaceDE w:val="0"/>
              <w:autoSpaceDN w:val="0"/>
              <w:adjustRightInd w:val="0"/>
              <w:jc w:val="center"/>
            </w:pPr>
            <w:r>
              <w:rPr>
                <w:color w:val="000000"/>
                <w:lang w:val="es-ES" w:bidi="es-ES"/>
              </w:rPr>
              <w:t>0.01%</w:t>
            </w:r>
          </w:p>
        </w:tc>
      </w:tr>
    </w:tbl>
    <w:p w14:paraId="1350CCE9" w14:textId="77777777" w:rsidR="00B47B24" w:rsidRDefault="00C05CD4" w:rsidP="00860912">
      <w:pPr>
        <w:autoSpaceDE w:val="0"/>
        <w:autoSpaceDN w:val="0"/>
        <w:adjustRightInd w:val="0"/>
        <w:jc w:val="center"/>
        <w:rPr>
          <w:b/>
          <w:bCs/>
        </w:rPr>
      </w:pPr>
    </w:p>
    <w:p w14:paraId="1DD1BBC5" w14:textId="77777777" w:rsidR="00860912" w:rsidRDefault="00C05CD4" w:rsidP="00860912">
      <w:pPr>
        <w:autoSpaceDE w:val="0"/>
        <w:autoSpaceDN w:val="0"/>
        <w:adjustRightInd w:val="0"/>
        <w:jc w:val="center"/>
        <w:rPr>
          <w:b/>
          <w:bCs/>
        </w:rPr>
      </w:pPr>
    </w:p>
    <w:p w14:paraId="121D4617" w14:textId="77777777" w:rsidR="00860912" w:rsidRPr="00A25F39" w:rsidRDefault="00E5648D" w:rsidP="00860912">
      <w:pPr>
        <w:autoSpaceDE w:val="0"/>
        <w:autoSpaceDN w:val="0"/>
        <w:adjustRightInd w:val="0"/>
        <w:jc w:val="center"/>
        <w:rPr>
          <w:b/>
          <w:bCs/>
        </w:rPr>
      </w:pPr>
      <w:r w:rsidRPr="00A25F39">
        <w:rPr>
          <w:b/>
          <w:bCs/>
          <w:lang w:val="es-ES" w:bidi="es-ES"/>
        </w:rPr>
        <w:t>PARA MÁS INFORMACIÓN</w:t>
      </w:r>
    </w:p>
    <w:p w14:paraId="0816ABD0" w14:textId="77777777" w:rsidR="00860912" w:rsidRPr="00A25F39" w:rsidRDefault="00C05CD4" w:rsidP="00860912">
      <w:pPr>
        <w:autoSpaceDE w:val="0"/>
        <w:autoSpaceDN w:val="0"/>
        <w:adjustRightInd w:val="0"/>
        <w:rPr>
          <w:b/>
          <w:bCs/>
        </w:rPr>
      </w:pPr>
    </w:p>
    <w:p w14:paraId="68C9FAAA" w14:textId="77777777" w:rsidR="00860912" w:rsidRDefault="00E5648D" w:rsidP="00860912">
      <w:pPr>
        <w:rPr>
          <w:sz w:val="22"/>
          <w:szCs w:val="22"/>
        </w:rPr>
      </w:pPr>
      <w:r>
        <w:rPr>
          <w:sz w:val="22"/>
          <w:szCs w:val="22"/>
          <w:lang w:val="es-ES" w:bidi="es-ES"/>
        </w:rPr>
        <w:t xml:space="preserve">Puede pedir información adicional u obtener una copia de la Solicitud y los anexos relacionados escribiéndole a: </w:t>
      </w:r>
      <w:proofErr w:type="spellStart"/>
      <w:r>
        <w:rPr>
          <w:sz w:val="22"/>
          <w:szCs w:val="22"/>
          <w:lang w:val="es-ES" w:bidi="es-ES"/>
        </w:rPr>
        <w:t>Jamie</w:t>
      </w:r>
      <w:proofErr w:type="spellEnd"/>
      <w:r>
        <w:rPr>
          <w:sz w:val="22"/>
          <w:szCs w:val="22"/>
          <w:lang w:val="es-ES" w:bidi="es-ES"/>
        </w:rPr>
        <w:t xml:space="preserve"> York, </w:t>
      </w:r>
      <w:proofErr w:type="spellStart"/>
      <w:r>
        <w:rPr>
          <w:sz w:val="22"/>
          <w:szCs w:val="22"/>
          <w:lang w:val="es-ES" w:bidi="es-ES"/>
        </w:rPr>
        <w:t>Regulatory</w:t>
      </w:r>
      <w:proofErr w:type="spellEnd"/>
      <w:r>
        <w:rPr>
          <w:sz w:val="22"/>
          <w:szCs w:val="22"/>
          <w:lang w:val="es-ES" w:bidi="es-ES"/>
        </w:rPr>
        <w:t xml:space="preserve"> Case Manager </w:t>
      </w:r>
      <w:proofErr w:type="spellStart"/>
      <w:r>
        <w:rPr>
          <w:sz w:val="22"/>
          <w:szCs w:val="22"/>
          <w:lang w:val="es-ES" w:bidi="es-ES"/>
        </w:rPr>
        <w:t>for</w:t>
      </w:r>
      <w:proofErr w:type="spellEnd"/>
      <w:r>
        <w:rPr>
          <w:sz w:val="22"/>
          <w:szCs w:val="22"/>
          <w:lang w:val="es-ES" w:bidi="es-ES"/>
        </w:rPr>
        <w:t xml:space="preserve"> SDG&amp;E, 8330 Century Park </w:t>
      </w:r>
      <w:proofErr w:type="spellStart"/>
      <w:r>
        <w:rPr>
          <w:sz w:val="22"/>
          <w:szCs w:val="22"/>
          <w:lang w:val="es-ES" w:bidi="es-ES"/>
        </w:rPr>
        <w:t>Court</w:t>
      </w:r>
      <w:proofErr w:type="spellEnd"/>
      <w:r>
        <w:rPr>
          <w:sz w:val="22"/>
          <w:szCs w:val="22"/>
          <w:lang w:val="es-ES" w:bidi="es-ES"/>
        </w:rPr>
        <w:t>, San Diego, CA 92123. SDG&amp;E proporcionará una copia de la solicitud, testimonios inclusive, previa solicitud. Una copia de la solicitud y cualesquiera enmiendas también podrán inspeccionarse en las oficinas comerciales de SDG&amp;E que aparecen a continuación:</w:t>
      </w:r>
    </w:p>
    <w:p w14:paraId="27A23D20" w14:textId="77777777" w:rsidR="00860912" w:rsidRDefault="00C05CD4" w:rsidP="00860912">
      <w:pPr>
        <w:jc w:val="both"/>
        <w:rPr>
          <w:sz w:val="22"/>
          <w:szCs w:val="22"/>
        </w:rPr>
      </w:pPr>
    </w:p>
    <w:tbl>
      <w:tblPr>
        <w:tblW w:w="0" w:type="auto"/>
        <w:tblLayout w:type="fixed"/>
        <w:tblLook w:val="0000" w:firstRow="0" w:lastRow="0" w:firstColumn="0" w:lastColumn="0" w:noHBand="0" w:noVBand="0"/>
      </w:tblPr>
      <w:tblGrid>
        <w:gridCol w:w="2952"/>
        <w:gridCol w:w="2952"/>
        <w:gridCol w:w="2952"/>
      </w:tblGrid>
      <w:tr w:rsidR="006E61D7" w14:paraId="7B1D0D0A" w14:textId="77777777" w:rsidTr="00D37B16">
        <w:tc>
          <w:tcPr>
            <w:tcW w:w="2952" w:type="dxa"/>
            <w:tcBorders>
              <w:top w:val="nil"/>
              <w:left w:val="nil"/>
              <w:bottom w:val="nil"/>
              <w:right w:val="nil"/>
            </w:tcBorders>
          </w:tcPr>
          <w:p w14:paraId="160FC7A6" w14:textId="77777777" w:rsidR="00860912" w:rsidRDefault="00E5648D" w:rsidP="00D37B16">
            <w:pPr>
              <w:jc w:val="both"/>
            </w:pPr>
            <w:r>
              <w:rPr>
                <w:sz w:val="22"/>
                <w:szCs w:val="22"/>
                <w:lang w:val="es-ES" w:bidi="es-ES"/>
              </w:rPr>
              <w:t>436 H St.</w:t>
            </w:r>
          </w:p>
          <w:p w14:paraId="766AE8AB" w14:textId="77777777" w:rsidR="00860912" w:rsidRDefault="00E5648D" w:rsidP="00D37B16">
            <w:pPr>
              <w:jc w:val="both"/>
            </w:pPr>
            <w:r>
              <w:rPr>
                <w:sz w:val="22"/>
                <w:szCs w:val="22"/>
                <w:lang w:val="es-ES" w:bidi="es-ES"/>
              </w:rPr>
              <w:t>Chula Vista, CA 91910</w:t>
            </w:r>
          </w:p>
          <w:p w14:paraId="7E6CDF41" w14:textId="77777777" w:rsidR="00860912" w:rsidRDefault="00C05CD4" w:rsidP="00D37B16">
            <w:pPr>
              <w:jc w:val="both"/>
            </w:pPr>
          </w:p>
          <w:p w14:paraId="31BDB9A0" w14:textId="77777777" w:rsidR="00860912" w:rsidRDefault="00E5648D" w:rsidP="00D37B16">
            <w:pPr>
              <w:jc w:val="both"/>
            </w:pPr>
            <w:r>
              <w:rPr>
                <w:sz w:val="22"/>
                <w:szCs w:val="22"/>
                <w:lang w:val="es-ES" w:bidi="es-ES"/>
              </w:rPr>
              <w:t xml:space="preserve">2405 E. Plaza </w:t>
            </w:r>
            <w:proofErr w:type="spellStart"/>
            <w:r>
              <w:rPr>
                <w:sz w:val="22"/>
                <w:szCs w:val="22"/>
                <w:lang w:val="es-ES" w:bidi="es-ES"/>
              </w:rPr>
              <w:t>Blvd</w:t>
            </w:r>
            <w:proofErr w:type="spellEnd"/>
            <w:r>
              <w:rPr>
                <w:sz w:val="22"/>
                <w:szCs w:val="22"/>
                <w:lang w:val="es-ES" w:bidi="es-ES"/>
              </w:rPr>
              <w:t>.</w:t>
            </w:r>
          </w:p>
          <w:p w14:paraId="5686F016" w14:textId="77777777" w:rsidR="00860912" w:rsidRDefault="00E5648D" w:rsidP="00D37B16">
            <w:pPr>
              <w:jc w:val="both"/>
            </w:pPr>
            <w:proofErr w:type="spellStart"/>
            <w:r>
              <w:rPr>
                <w:sz w:val="22"/>
                <w:szCs w:val="22"/>
                <w:lang w:val="es-ES" w:bidi="es-ES"/>
              </w:rPr>
              <w:t>National</w:t>
            </w:r>
            <w:proofErr w:type="spellEnd"/>
            <w:r>
              <w:rPr>
                <w:sz w:val="22"/>
                <w:szCs w:val="22"/>
                <w:lang w:val="es-ES" w:bidi="es-ES"/>
              </w:rPr>
              <w:t xml:space="preserve"> City, CA 91950</w:t>
            </w:r>
          </w:p>
          <w:p w14:paraId="11B56857" w14:textId="77777777" w:rsidR="00860912" w:rsidRDefault="00C05CD4" w:rsidP="00D37B16">
            <w:pPr>
              <w:jc w:val="both"/>
            </w:pPr>
          </w:p>
          <w:p w14:paraId="77709E1B" w14:textId="77777777" w:rsidR="00860912" w:rsidRDefault="00E5648D" w:rsidP="00D37B16">
            <w:pPr>
              <w:jc w:val="both"/>
            </w:pPr>
            <w:r>
              <w:rPr>
                <w:sz w:val="22"/>
                <w:szCs w:val="22"/>
                <w:lang w:val="es-ES" w:bidi="es-ES"/>
              </w:rPr>
              <w:t xml:space="preserve">440 </w:t>
            </w:r>
            <w:proofErr w:type="spellStart"/>
            <w:r>
              <w:rPr>
                <w:sz w:val="22"/>
                <w:szCs w:val="22"/>
                <w:lang w:val="es-ES" w:bidi="es-ES"/>
              </w:rPr>
              <w:t>Beech</w:t>
            </w:r>
            <w:proofErr w:type="spellEnd"/>
            <w:r>
              <w:rPr>
                <w:sz w:val="22"/>
                <w:szCs w:val="22"/>
                <w:lang w:val="es-ES" w:bidi="es-ES"/>
              </w:rPr>
              <w:t xml:space="preserve"> St.</w:t>
            </w:r>
          </w:p>
          <w:p w14:paraId="366E5D1B" w14:textId="77777777" w:rsidR="00860912" w:rsidRDefault="00E5648D" w:rsidP="00D37B16">
            <w:pPr>
              <w:jc w:val="both"/>
            </w:pPr>
            <w:r>
              <w:rPr>
                <w:sz w:val="22"/>
                <w:szCs w:val="22"/>
                <w:lang w:val="es-ES" w:bidi="es-ES"/>
              </w:rPr>
              <w:t>San Diego, CA 92101</w:t>
            </w:r>
          </w:p>
          <w:p w14:paraId="42F6B2D8" w14:textId="77777777" w:rsidR="00860912" w:rsidRDefault="00C05CD4" w:rsidP="00D37B16">
            <w:pPr>
              <w:jc w:val="both"/>
            </w:pPr>
          </w:p>
        </w:tc>
        <w:tc>
          <w:tcPr>
            <w:tcW w:w="2952" w:type="dxa"/>
            <w:tcBorders>
              <w:top w:val="nil"/>
              <w:left w:val="nil"/>
              <w:bottom w:val="nil"/>
              <w:right w:val="nil"/>
            </w:tcBorders>
          </w:tcPr>
          <w:p w14:paraId="0D37E0BD" w14:textId="77777777" w:rsidR="00860912" w:rsidRPr="00350BBF" w:rsidRDefault="00E5648D" w:rsidP="00D37B16">
            <w:pPr>
              <w:jc w:val="both"/>
              <w:rPr>
                <w:lang w:val="es-MX"/>
              </w:rPr>
            </w:pPr>
            <w:r w:rsidRPr="00350BBF">
              <w:rPr>
                <w:sz w:val="22"/>
                <w:szCs w:val="22"/>
                <w:lang w:val="es-ES" w:bidi="es-ES"/>
              </w:rPr>
              <w:t>104 N. Johnson Ave.</w:t>
            </w:r>
          </w:p>
          <w:p w14:paraId="33B56517" w14:textId="77777777" w:rsidR="00860912" w:rsidRPr="00350BBF" w:rsidRDefault="00E5648D" w:rsidP="00D37B16">
            <w:pPr>
              <w:jc w:val="both"/>
              <w:rPr>
                <w:lang w:val="es-MX"/>
              </w:rPr>
            </w:pPr>
            <w:r w:rsidRPr="00350BBF">
              <w:rPr>
                <w:sz w:val="22"/>
                <w:szCs w:val="22"/>
                <w:lang w:val="es-ES" w:bidi="es-ES"/>
              </w:rPr>
              <w:t xml:space="preserve">El </w:t>
            </w:r>
            <w:proofErr w:type="spellStart"/>
            <w:r w:rsidRPr="00350BBF">
              <w:rPr>
                <w:sz w:val="22"/>
                <w:szCs w:val="22"/>
                <w:lang w:val="es-ES" w:bidi="es-ES"/>
              </w:rPr>
              <w:t>Cajon</w:t>
            </w:r>
            <w:proofErr w:type="spellEnd"/>
            <w:r w:rsidRPr="00350BBF">
              <w:rPr>
                <w:sz w:val="22"/>
                <w:szCs w:val="22"/>
                <w:lang w:val="es-ES" w:bidi="es-ES"/>
              </w:rPr>
              <w:t>, CA 92020</w:t>
            </w:r>
          </w:p>
          <w:p w14:paraId="50F3E032" w14:textId="77777777" w:rsidR="00860912" w:rsidRPr="00350BBF" w:rsidRDefault="00C05CD4" w:rsidP="00D37B16">
            <w:pPr>
              <w:jc w:val="both"/>
              <w:rPr>
                <w:lang w:val="es-MX"/>
              </w:rPr>
            </w:pPr>
          </w:p>
          <w:p w14:paraId="36ECCAE3" w14:textId="77777777" w:rsidR="00860912" w:rsidRPr="00831ACB" w:rsidRDefault="00E5648D" w:rsidP="00D37B16">
            <w:pPr>
              <w:jc w:val="both"/>
            </w:pPr>
            <w:r w:rsidRPr="00831ACB">
              <w:rPr>
                <w:sz w:val="22"/>
                <w:szCs w:val="22"/>
                <w:lang w:val="es-ES" w:bidi="es-ES"/>
              </w:rPr>
              <w:t xml:space="preserve">336 </w:t>
            </w:r>
            <w:proofErr w:type="spellStart"/>
            <w:r w:rsidRPr="00831ACB">
              <w:rPr>
                <w:sz w:val="22"/>
                <w:szCs w:val="22"/>
                <w:lang w:val="es-ES" w:bidi="es-ES"/>
              </w:rPr>
              <w:t>Euclid</w:t>
            </w:r>
            <w:proofErr w:type="spellEnd"/>
            <w:r w:rsidRPr="00831ACB">
              <w:rPr>
                <w:sz w:val="22"/>
                <w:szCs w:val="22"/>
                <w:lang w:val="es-ES" w:bidi="es-ES"/>
              </w:rPr>
              <w:t xml:space="preserve"> Ave.</w:t>
            </w:r>
          </w:p>
          <w:p w14:paraId="35302F72" w14:textId="77777777" w:rsidR="00860912" w:rsidRPr="00831ACB" w:rsidRDefault="00E5648D" w:rsidP="00D37B16">
            <w:pPr>
              <w:jc w:val="both"/>
            </w:pPr>
            <w:r w:rsidRPr="00831ACB">
              <w:rPr>
                <w:sz w:val="22"/>
                <w:szCs w:val="22"/>
                <w:lang w:val="es-ES" w:bidi="es-ES"/>
              </w:rPr>
              <w:t>San Diego, CA 92114</w:t>
            </w:r>
          </w:p>
          <w:p w14:paraId="1498FF1C" w14:textId="77777777" w:rsidR="00860912" w:rsidRPr="00831ACB" w:rsidRDefault="00C05CD4" w:rsidP="00D37B16">
            <w:pPr>
              <w:jc w:val="both"/>
            </w:pPr>
          </w:p>
          <w:p w14:paraId="4C7F8EB7" w14:textId="77777777" w:rsidR="00860912" w:rsidRPr="00831ACB" w:rsidRDefault="00C05CD4" w:rsidP="00D37B16">
            <w:pPr>
              <w:jc w:val="both"/>
            </w:pPr>
          </w:p>
        </w:tc>
        <w:tc>
          <w:tcPr>
            <w:tcW w:w="2952" w:type="dxa"/>
            <w:tcBorders>
              <w:top w:val="nil"/>
              <w:left w:val="nil"/>
              <w:bottom w:val="nil"/>
              <w:right w:val="nil"/>
            </w:tcBorders>
          </w:tcPr>
          <w:p w14:paraId="5492EF80" w14:textId="77777777" w:rsidR="00860912" w:rsidRDefault="00E5648D" w:rsidP="00D37B16">
            <w:pPr>
              <w:jc w:val="both"/>
              <w:rPr>
                <w:lang w:val="it-IT"/>
              </w:rPr>
            </w:pPr>
            <w:r>
              <w:rPr>
                <w:sz w:val="22"/>
                <w:szCs w:val="22"/>
                <w:lang w:val="es-ES" w:bidi="es-ES"/>
              </w:rPr>
              <w:t xml:space="preserve">644 W. </w:t>
            </w:r>
            <w:proofErr w:type="spellStart"/>
            <w:r>
              <w:rPr>
                <w:sz w:val="22"/>
                <w:szCs w:val="22"/>
                <w:lang w:val="es-ES" w:bidi="es-ES"/>
              </w:rPr>
              <w:t>Mission</w:t>
            </w:r>
            <w:proofErr w:type="spellEnd"/>
            <w:r>
              <w:rPr>
                <w:sz w:val="22"/>
                <w:szCs w:val="22"/>
                <w:lang w:val="es-ES" w:bidi="es-ES"/>
              </w:rPr>
              <w:t xml:space="preserve"> Ave</w:t>
            </w:r>
          </w:p>
          <w:p w14:paraId="23FAE65B" w14:textId="77777777" w:rsidR="00860912" w:rsidRDefault="00E5648D" w:rsidP="00D37B16">
            <w:pPr>
              <w:jc w:val="both"/>
              <w:rPr>
                <w:lang w:val="it-IT"/>
              </w:rPr>
            </w:pPr>
            <w:r>
              <w:rPr>
                <w:sz w:val="22"/>
                <w:szCs w:val="22"/>
                <w:lang w:val="es-ES" w:bidi="es-ES"/>
              </w:rPr>
              <w:t>Escondido, CA 92025</w:t>
            </w:r>
          </w:p>
          <w:p w14:paraId="6B63F744" w14:textId="77777777" w:rsidR="00860912" w:rsidRDefault="00C05CD4" w:rsidP="00D37B16">
            <w:pPr>
              <w:jc w:val="both"/>
              <w:rPr>
                <w:lang w:val="it-IT"/>
              </w:rPr>
            </w:pPr>
          </w:p>
          <w:p w14:paraId="7511CD1B" w14:textId="77777777" w:rsidR="00860912" w:rsidRPr="00350BBF" w:rsidRDefault="00E5648D" w:rsidP="00D37B16">
            <w:pPr>
              <w:jc w:val="both"/>
              <w:rPr>
                <w:lang w:val="es-MX"/>
              </w:rPr>
            </w:pPr>
            <w:r w:rsidRPr="00350BBF">
              <w:rPr>
                <w:sz w:val="22"/>
                <w:szCs w:val="22"/>
                <w:lang w:val="es-ES" w:bidi="es-ES"/>
              </w:rPr>
              <w:t>2604-B S. El Camino Real</w:t>
            </w:r>
          </w:p>
          <w:p w14:paraId="46F68A1B" w14:textId="77777777" w:rsidR="00860912" w:rsidRDefault="00E5648D" w:rsidP="00D37B16">
            <w:pPr>
              <w:jc w:val="both"/>
            </w:pPr>
            <w:r>
              <w:rPr>
                <w:sz w:val="22"/>
                <w:szCs w:val="22"/>
                <w:lang w:val="es-ES" w:bidi="es-ES"/>
              </w:rPr>
              <w:t>Carlsbad, CA 92008</w:t>
            </w:r>
          </w:p>
        </w:tc>
      </w:tr>
    </w:tbl>
    <w:p w14:paraId="248A33AB" w14:textId="77777777" w:rsidR="00860912" w:rsidRDefault="00E5648D" w:rsidP="00860912">
      <w:pPr>
        <w:rPr>
          <w:color w:val="0000FF"/>
          <w:sz w:val="22"/>
          <w:szCs w:val="22"/>
        </w:rPr>
      </w:pPr>
      <w:r>
        <w:rPr>
          <w:sz w:val="22"/>
          <w:szCs w:val="22"/>
          <w:lang w:val="es-ES" w:bidi="es-ES"/>
        </w:rPr>
        <w:t xml:space="preserve">Hay copias de esta Solicitud en el sitio web de SDG&amp;E en </w:t>
      </w:r>
      <w:hyperlink r:id="rId6" w:history="1">
        <w:r>
          <w:rPr>
            <w:color w:val="0000FF"/>
            <w:sz w:val="22"/>
            <w:szCs w:val="22"/>
            <w:u w:val="single"/>
            <w:lang w:val="es-ES" w:bidi="es-ES"/>
          </w:rPr>
          <w:t>http://www.sdge.com/proceedings</w:t>
        </w:r>
      </w:hyperlink>
      <w:r>
        <w:rPr>
          <w:color w:val="0000FF"/>
          <w:sz w:val="22"/>
          <w:szCs w:val="22"/>
          <w:u w:val="single"/>
          <w:lang w:val="es-ES" w:bidi="es-ES"/>
        </w:rPr>
        <w:t>.</w:t>
      </w:r>
    </w:p>
    <w:p w14:paraId="64ECE47C" w14:textId="77777777" w:rsidR="00860912" w:rsidRDefault="00C05CD4" w:rsidP="00860912">
      <w:pPr>
        <w:rPr>
          <w:color w:val="0000FF"/>
          <w:sz w:val="22"/>
          <w:szCs w:val="22"/>
          <w:u w:val="single"/>
        </w:rPr>
      </w:pPr>
    </w:p>
    <w:p w14:paraId="6F06602E" w14:textId="77777777" w:rsidR="00860912" w:rsidRDefault="00E5648D" w:rsidP="00860912">
      <w:pPr>
        <w:rPr>
          <w:sz w:val="22"/>
          <w:szCs w:val="22"/>
        </w:rPr>
      </w:pPr>
      <w:r>
        <w:rPr>
          <w:sz w:val="22"/>
          <w:szCs w:val="22"/>
          <w:lang w:val="es-ES" w:bidi="es-ES"/>
        </w:rPr>
        <w:lastRenderedPageBreak/>
        <w:t xml:space="preserve">Habrá copias de este encarte para su consulta e impresión en el sitio web de SDG&amp;E en </w:t>
      </w:r>
      <w:hyperlink r:id="rId7" w:history="1">
        <w:r>
          <w:rPr>
            <w:color w:val="0000FF"/>
            <w:u w:val="single"/>
            <w:lang w:val="es-ES" w:bidi="es-ES"/>
          </w:rPr>
          <w:t>www.sdge.com/regulatory-notices</w:t>
        </w:r>
      </w:hyperlink>
      <w:r>
        <w:rPr>
          <w:lang w:val="es-ES" w:bidi="es-ES"/>
        </w:rPr>
        <w:t>.</w:t>
      </w:r>
    </w:p>
    <w:p w14:paraId="62A4BD92" w14:textId="77777777" w:rsidR="00860912" w:rsidRDefault="00C05CD4" w:rsidP="00860912">
      <w:pPr>
        <w:pStyle w:val="BodyText"/>
        <w:spacing w:after="0"/>
        <w:rPr>
          <w:b/>
        </w:rPr>
      </w:pPr>
    </w:p>
    <w:p w14:paraId="6509636D" w14:textId="77777777" w:rsidR="00860912" w:rsidRDefault="00E5648D" w:rsidP="00860912">
      <w:pPr>
        <w:pStyle w:val="BodyText"/>
        <w:spacing w:after="0"/>
        <w:rPr>
          <w:b/>
          <w:bCs/>
        </w:rPr>
      </w:pPr>
      <w:r w:rsidRPr="00A1123C">
        <w:rPr>
          <w:b/>
          <w:bCs/>
          <w:lang w:val="es-ES" w:bidi="es-ES"/>
        </w:rPr>
        <w:t xml:space="preserve">PROCESO DE LA CPUC </w:t>
      </w:r>
    </w:p>
    <w:p w14:paraId="34384130" w14:textId="77777777" w:rsidR="006D75A6" w:rsidRPr="00831ACB" w:rsidRDefault="00C05CD4" w:rsidP="00860912">
      <w:pPr>
        <w:pStyle w:val="BodyText"/>
        <w:spacing w:after="0"/>
        <w:rPr>
          <w:b/>
          <w:bCs/>
        </w:rPr>
      </w:pPr>
    </w:p>
    <w:p w14:paraId="6D299A30" w14:textId="77777777" w:rsidR="006D75A6" w:rsidRDefault="00E5648D" w:rsidP="006D75A6">
      <w:r>
        <w:rPr>
          <w:lang w:val="es-ES" w:bidi="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w:t>
      </w:r>
      <w:r w:rsidR="009A5962">
        <w:rPr>
          <w:lang w:val="es-ES" w:bidi="es-ES"/>
        </w:rPr>
        <w:t>audiencias</w:t>
      </w:r>
      <w:r>
        <w:rPr>
          <w:lang w:val="es-ES" w:bidi="es-ES"/>
        </w:rPr>
        <w:t xml:space="preserve"> para la presentación de pruebas están abiertas al público, pero sólo las partes que aparecen en el acta pueden participar. </w:t>
      </w:r>
    </w:p>
    <w:p w14:paraId="700D15C7" w14:textId="77777777" w:rsidR="006D75A6" w:rsidRDefault="00C05CD4" w:rsidP="006D75A6"/>
    <w:p w14:paraId="41095453" w14:textId="77777777" w:rsidR="006D75A6" w:rsidRDefault="00E5648D" w:rsidP="006D75A6">
      <w:r>
        <w:rPr>
          <w:lang w:val="es-ES" w:bidi="es-ES"/>
        </w:rPr>
        <w:t xml:space="preserve">Después de considerar todas las propuestas y pruebas presentadas durante el proceso formal de las audiencias, </w:t>
      </w:r>
      <w:r w:rsidR="007344B6" w:rsidRPr="007344B6">
        <w:rPr>
          <w:lang w:val="es-ES" w:bidi="es-ES"/>
        </w:rPr>
        <w:t>el Juez asignado emitirá una propuesta de decisión en la que se determine si se adopta total o parcialmente la solicitud de SDG&amp;E, se modifica o se deniega</w:t>
      </w:r>
      <w:r>
        <w:rPr>
          <w:lang w:val="es-ES" w:bidi="es-ES"/>
        </w:rPr>
        <w:t xml:space="preserve">. Cualquier Comisionado de la CPUC tal vez apoye una decisión alterna. La decisión propuesta y cualquier decisión alterna se discutirán y someterán a voto en una Reunión de Votación de la CPUC, que se programe. </w:t>
      </w:r>
    </w:p>
    <w:p w14:paraId="1DF4D6AF" w14:textId="77777777" w:rsidR="006D75A6" w:rsidRDefault="00C05CD4" w:rsidP="006D75A6"/>
    <w:p w14:paraId="54DCCBF1" w14:textId="77777777" w:rsidR="006D75A6" w:rsidRDefault="00E5648D" w:rsidP="006D75A6">
      <w:r>
        <w:rPr>
          <w:lang w:val="es-ES" w:bidi="es-ES"/>
        </w:rPr>
        <w:t>Como una de las partes que aparece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servicio, acorde con los niveles de un servicio confiable y seguro. ORA cuenta con un personal multidisciplinario con pericia en economía, finanzas, contabilidad e ingeniería. Otras de las partes que aparecen en el acta también participarán en el procedimiento de la CPUC para considerar esta solicitud. Para más información sobre ORA, por favor llame al (415) 703-1584, envíe un mensaje por correo electrónico a ora@cpuc.ca.gov o visite el sitio web de ORA en http://ora.ca.gov/default.aspx.</w:t>
      </w:r>
    </w:p>
    <w:p w14:paraId="3588CA9F" w14:textId="77777777" w:rsidR="006D75A6" w:rsidRDefault="00C05CD4" w:rsidP="006D75A6"/>
    <w:p w14:paraId="5BD20915" w14:textId="77777777" w:rsidR="006D75A6" w:rsidRPr="00D11F89" w:rsidRDefault="00E5648D" w:rsidP="006D75A6">
      <w:pPr>
        <w:rPr>
          <w:b/>
        </w:rPr>
      </w:pPr>
      <w:r w:rsidRPr="00D11F89">
        <w:rPr>
          <w:b/>
          <w:bCs/>
          <w:lang w:val="es-ES" w:bidi="es-ES"/>
        </w:rPr>
        <w:t>MANTÉNGASE INFORMADO:</w:t>
      </w:r>
    </w:p>
    <w:p w14:paraId="23B343DF" w14:textId="77777777" w:rsidR="006D75A6" w:rsidRDefault="00C05CD4" w:rsidP="006D75A6"/>
    <w:p w14:paraId="2F3F824D" w14:textId="77777777" w:rsidR="006D75A6" w:rsidRDefault="00E5648D" w:rsidP="006D75A6">
      <w:r>
        <w:rPr>
          <w:lang w:val="es-ES" w:bidi="es-ES"/>
        </w:rPr>
        <w:t xml:space="preserve">Si desea seguir este procedimiento, o cualquier otro asunto presentado ante la CPUC, puede utilizar el servicio de suscripción gratuito de la CPUC. Inscríbase en: </w:t>
      </w:r>
      <w:hyperlink r:id="rId8" w:history="1">
        <w:r>
          <w:rPr>
            <w:color w:val="0000FF"/>
            <w:u w:val="single"/>
            <w:lang w:val="es-ES" w:bidi="es-ES"/>
          </w:rPr>
          <w:t>http://subscribecpuc.cpuc.ca.gov/</w:t>
        </w:r>
      </w:hyperlink>
      <w:r>
        <w:rPr>
          <w:lang w:val="es-ES" w:bidi="es-ES"/>
        </w:rPr>
        <w:t>.</w:t>
      </w:r>
    </w:p>
    <w:p w14:paraId="327697F8" w14:textId="77777777" w:rsidR="008D2E19" w:rsidRDefault="00C05CD4" w:rsidP="006D75A6"/>
    <w:p w14:paraId="0AB0D053" w14:textId="77777777" w:rsidR="006D75A6" w:rsidRDefault="00E5648D" w:rsidP="006D75A6">
      <w:r>
        <w:rPr>
          <w:lang w:val="es-ES" w:bidi="es-ES"/>
        </w:rPr>
        <w:t>Si quiere obtener información sobre cómo puede participar en el procedimiento, o si tiene comentarios informales o dudas sobre los procesos de la CPUC, puede entrar a la página web de la Oficina del Asesor Público (PAO) de la CPUC en www.cpuc.ca.gov/puc y hacer clic en "</w:t>
      </w:r>
      <w:proofErr w:type="spellStart"/>
      <w:r>
        <w:rPr>
          <w:lang w:val="es-ES" w:bidi="es-ES"/>
        </w:rPr>
        <w:t>Public</w:t>
      </w:r>
      <w:proofErr w:type="spellEnd"/>
      <w:r>
        <w:rPr>
          <w:lang w:val="es-ES" w:bidi="es-ES"/>
        </w:rPr>
        <w:t xml:space="preserve"> </w:t>
      </w:r>
      <w:proofErr w:type="spellStart"/>
      <w:r>
        <w:rPr>
          <w:lang w:val="es-ES" w:bidi="es-ES"/>
        </w:rPr>
        <w:t>Advisor</w:t>
      </w:r>
      <w:proofErr w:type="spellEnd"/>
      <w:r>
        <w:rPr>
          <w:lang w:val="es-ES" w:bidi="es-ES"/>
        </w:rPr>
        <w:t xml:space="preserve">" (Asesor Público) en el Menú de información de la CPUC. También puede ponerse en contacto con la PAO de la siguiente manera:  </w:t>
      </w:r>
    </w:p>
    <w:p w14:paraId="3C34C1B7" w14:textId="77777777" w:rsidR="006D75A6" w:rsidRDefault="00C05CD4" w:rsidP="006D75A6"/>
    <w:p w14:paraId="4EF860D9" w14:textId="77777777" w:rsidR="006D75A6" w:rsidRDefault="00E5648D" w:rsidP="006D75A6">
      <w:r>
        <w:rPr>
          <w:lang w:val="es-ES" w:bidi="es-ES"/>
        </w:rPr>
        <w:t xml:space="preserve">Correo electrónico: </w:t>
      </w:r>
      <w:r>
        <w:rPr>
          <w:lang w:val="es-ES" w:bidi="es-ES"/>
        </w:rPr>
        <w:tab/>
        <w:t xml:space="preserve">public.advisor@cpuc.ca.gov  </w:t>
      </w:r>
    </w:p>
    <w:p w14:paraId="29A836BB" w14:textId="77777777" w:rsidR="006D75A6" w:rsidRDefault="00C05CD4" w:rsidP="006D75A6"/>
    <w:p w14:paraId="35486BDE" w14:textId="77777777" w:rsidR="006D75A6" w:rsidRDefault="00E5648D" w:rsidP="006D75A6">
      <w:r>
        <w:rPr>
          <w:lang w:val="es-ES" w:bidi="es-ES"/>
        </w:rPr>
        <w:t>Correo:</w:t>
      </w:r>
      <w:r>
        <w:rPr>
          <w:lang w:val="es-ES" w:bidi="es-ES"/>
        </w:rPr>
        <w:tab/>
        <w:t xml:space="preserve">CPUC </w:t>
      </w:r>
      <w:proofErr w:type="spellStart"/>
      <w:r>
        <w:rPr>
          <w:lang w:val="es-ES" w:bidi="es-ES"/>
        </w:rPr>
        <w:t>Public</w:t>
      </w:r>
      <w:proofErr w:type="spellEnd"/>
      <w:r>
        <w:rPr>
          <w:lang w:val="es-ES" w:bidi="es-ES"/>
        </w:rPr>
        <w:t xml:space="preserve"> </w:t>
      </w:r>
      <w:proofErr w:type="spellStart"/>
      <w:r>
        <w:rPr>
          <w:lang w:val="es-ES" w:bidi="es-ES"/>
        </w:rPr>
        <w:t>Advisor’s</w:t>
      </w:r>
      <w:proofErr w:type="spellEnd"/>
      <w:r>
        <w:rPr>
          <w:lang w:val="es-ES" w:bidi="es-ES"/>
        </w:rPr>
        <w:t xml:space="preserve"> Office, </w:t>
      </w:r>
      <w:proofErr w:type="spellStart"/>
      <w:r>
        <w:rPr>
          <w:lang w:val="es-ES" w:bidi="es-ES"/>
        </w:rPr>
        <w:t>Room</w:t>
      </w:r>
      <w:proofErr w:type="spellEnd"/>
      <w:r>
        <w:rPr>
          <w:lang w:val="es-ES" w:bidi="es-ES"/>
        </w:rPr>
        <w:t xml:space="preserve"> 2103</w:t>
      </w:r>
    </w:p>
    <w:p w14:paraId="365EE583" w14:textId="77777777" w:rsidR="006D75A6" w:rsidRDefault="00E5648D" w:rsidP="00446116">
      <w:pPr>
        <w:ind w:left="720" w:firstLine="720"/>
      </w:pPr>
      <w:r>
        <w:rPr>
          <w:lang w:val="es-ES" w:bidi="es-ES"/>
        </w:rPr>
        <w:t xml:space="preserve">505 Van Ness </w:t>
      </w:r>
      <w:proofErr w:type="spellStart"/>
      <w:r>
        <w:rPr>
          <w:lang w:val="es-ES" w:bidi="es-ES"/>
        </w:rPr>
        <w:t>Avenue</w:t>
      </w:r>
      <w:proofErr w:type="spellEnd"/>
    </w:p>
    <w:p w14:paraId="71979F77" w14:textId="77777777" w:rsidR="006D75A6" w:rsidRDefault="00E5648D" w:rsidP="006D75A6">
      <w:r>
        <w:rPr>
          <w:lang w:val="es-ES" w:bidi="es-ES"/>
        </w:rPr>
        <w:tab/>
      </w:r>
      <w:r w:rsidR="00446116">
        <w:rPr>
          <w:lang w:val="es-ES" w:bidi="es-ES"/>
        </w:rPr>
        <w:tab/>
      </w:r>
      <w:r>
        <w:rPr>
          <w:lang w:val="es-ES" w:bidi="es-ES"/>
        </w:rPr>
        <w:t>San Francisco, CA 94102</w:t>
      </w:r>
    </w:p>
    <w:p w14:paraId="60CD8001" w14:textId="77777777" w:rsidR="006D75A6" w:rsidRDefault="00E5648D" w:rsidP="006D75A6">
      <w:r>
        <w:rPr>
          <w:lang w:val="es-ES" w:bidi="es-ES"/>
        </w:rPr>
        <w:lastRenderedPageBreak/>
        <w:t xml:space="preserve">Llame al:  </w:t>
      </w:r>
      <w:r>
        <w:rPr>
          <w:lang w:val="es-ES" w:bidi="es-ES"/>
        </w:rPr>
        <w:tab/>
        <w:t xml:space="preserve">1-866-849-8390 (sin costo) o 1-415-703-2074 </w:t>
      </w:r>
    </w:p>
    <w:p w14:paraId="46B4963B" w14:textId="77777777" w:rsidR="00860912" w:rsidRDefault="00E5648D" w:rsidP="00860912">
      <w:r>
        <w:rPr>
          <w:lang w:val="es-ES" w:bidi="es-ES"/>
        </w:rPr>
        <w:tab/>
      </w:r>
      <w:r w:rsidR="00446116">
        <w:rPr>
          <w:lang w:val="es-ES" w:bidi="es-ES"/>
        </w:rPr>
        <w:tab/>
      </w:r>
      <w:r>
        <w:rPr>
          <w:lang w:val="es-ES" w:bidi="es-ES"/>
        </w:rPr>
        <w:t>TTY 1-866-836-7825 (sin costo) o 1-415-703-5282</w:t>
      </w:r>
    </w:p>
    <w:p w14:paraId="18F4368B" w14:textId="77777777" w:rsidR="001E5727" w:rsidRDefault="00C05CD4" w:rsidP="00860912"/>
    <w:p w14:paraId="6BDD358E" w14:textId="77777777" w:rsidR="00860912" w:rsidRPr="001472EE" w:rsidRDefault="00E5648D" w:rsidP="00860912">
      <w:r>
        <w:rPr>
          <w:lang w:val="es-ES" w:bidi="es-ES"/>
        </w:rPr>
        <w:t xml:space="preserve">Por favor haga referencia a SDG&amp;E </w:t>
      </w:r>
      <w:proofErr w:type="spellStart"/>
      <w:r>
        <w:rPr>
          <w:lang w:val="es-ES" w:bidi="es-ES"/>
        </w:rPr>
        <w:t>Application</w:t>
      </w:r>
      <w:proofErr w:type="spellEnd"/>
      <w:r>
        <w:rPr>
          <w:lang w:val="es-ES" w:bidi="es-ES"/>
        </w:rPr>
        <w:t xml:space="preserve"> No.15-04-012 en </w:t>
      </w:r>
      <w:r w:rsidR="00446116">
        <w:rPr>
          <w:lang w:val="es-ES" w:bidi="es-ES"/>
        </w:rPr>
        <w:t>las</w:t>
      </w:r>
      <w:r>
        <w:rPr>
          <w:lang w:val="es-ES" w:bidi="es-ES"/>
        </w:rPr>
        <w:t xml:space="preserve">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205C783B" w14:textId="77777777" w:rsidR="00001277" w:rsidRDefault="00C05CD4"/>
    <w:sectPr w:rsidR="0000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D7"/>
    <w:rsid w:val="000C1208"/>
    <w:rsid w:val="00134EAC"/>
    <w:rsid w:val="002A513D"/>
    <w:rsid w:val="00320708"/>
    <w:rsid w:val="00353EC9"/>
    <w:rsid w:val="00446116"/>
    <w:rsid w:val="004945C7"/>
    <w:rsid w:val="006E61D7"/>
    <w:rsid w:val="007344B6"/>
    <w:rsid w:val="009027C5"/>
    <w:rsid w:val="009A5962"/>
    <w:rsid w:val="00A508F3"/>
    <w:rsid w:val="00AD095C"/>
    <w:rsid w:val="00D23BBC"/>
    <w:rsid w:val="00D2427D"/>
    <w:rsid w:val="00E5648D"/>
    <w:rsid w:val="00F7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B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0912"/>
    <w:pPr>
      <w:widowControl w:val="0"/>
      <w:spacing w:after="240"/>
    </w:pPr>
  </w:style>
  <w:style w:type="character" w:customStyle="1" w:styleId="BodyTextChar">
    <w:name w:val="Body Text Char"/>
    <w:basedOn w:val="DefaultParagraphFont"/>
    <w:link w:val="BodyText"/>
    <w:uiPriority w:val="99"/>
    <w:rsid w:val="00860912"/>
    <w:rPr>
      <w:rFonts w:ascii="Times New Roman" w:eastAsia="Times New Roman" w:hAnsi="Times New Roman" w:cs="Times New Roman"/>
      <w:sz w:val="24"/>
      <w:szCs w:val="24"/>
    </w:rPr>
  </w:style>
  <w:style w:type="paragraph" w:styleId="Header">
    <w:name w:val="header"/>
    <w:basedOn w:val="Normal"/>
    <w:link w:val="HeaderChar"/>
    <w:uiPriority w:val="99"/>
    <w:rsid w:val="00860912"/>
    <w:pPr>
      <w:tabs>
        <w:tab w:val="center" w:pos="4680"/>
        <w:tab w:val="right" w:pos="9360"/>
      </w:tabs>
    </w:pPr>
  </w:style>
  <w:style w:type="character" w:customStyle="1" w:styleId="HeaderChar">
    <w:name w:val="Header Char"/>
    <w:basedOn w:val="DefaultParagraphFont"/>
    <w:link w:val="Header"/>
    <w:uiPriority w:val="99"/>
    <w:rsid w:val="0086091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86091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860912"/>
    <w:pPr>
      <w:keepNext/>
      <w:keepLines/>
    </w:pPr>
    <w:rPr>
      <w:rFonts w:ascii="Arial" w:hAnsi="Arial" w:cs="Arial"/>
      <w:sz w:val="20"/>
      <w:szCs w:val="20"/>
    </w:rPr>
  </w:style>
  <w:style w:type="character" w:styleId="Hyperlink">
    <w:name w:val="Hyperlink"/>
    <w:uiPriority w:val="99"/>
    <w:rsid w:val="00860912"/>
    <w:rPr>
      <w:rFonts w:cs="Times New Roman"/>
      <w:color w:val="0000FF"/>
      <w:u w:val="single"/>
    </w:rPr>
  </w:style>
  <w:style w:type="character" w:styleId="CommentReference">
    <w:name w:val="annotation reference"/>
    <w:basedOn w:val="DefaultParagraphFont"/>
    <w:uiPriority w:val="99"/>
    <w:semiHidden/>
    <w:unhideWhenUsed/>
    <w:rsid w:val="009C3293"/>
    <w:rPr>
      <w:sz w:val="16"/>
      <w:szCs w:val="16"/>
    </w:rPr>
  </w:style>
  <w:style w:type="paragraph" w:styleId="CommentText">
    <w:name w:val="annotation text"/>
    <w:basedOn w:val="Normal"/>
    <w:link w:val="CommentTextChar"/>
    <w:uiPriority w:val="99"/>
    <w:semiHidden/>
    <w:unhideWhenUsed/>
    <w:rsid w:val="009C3293"/>
    <w:rPr>
      <w:sz w:val="20"/>
      <w:szCs w:val="20"/>
    </w:rPr>
  </w:style>
  <w:style w:type="character" w:customStyle="1" w:styleId="CommentTextChar">
    <w:name w:val="Comment Text Char"/>
    <w:basedOn w:val="DefaultParagraphFont"/>
    <w:link w:val="CommentText"/>
    <w:uiPriority w:val="99"/>
    <w:semiHidden/>
    <w:rsid w:val="009C32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293"/>
    <w:rPr>
      <w:b/>
      <w:bCs/>
    </w:rPr>
  </w:style>
  <w:style w:type="character" w:customStyle="1" w:styleId="CommentSubjectChar">
    <w:name w:val="Comment Subject Char"/>
    <w:basedOn w:val="CommentTextChar"/>
    <w:link w:val="CommentSubject"/>
    <w:uiPriority w:val="99"/>
    <w:semiHidden/>
    <w:rsid w:val="009C32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293"/>
    <w:rPr>
      <w:rFonts w:ascii="Tahoma" w:hAnsi="Tahoma" w:cs="Tahoma"/>
      <w:sz w:val="16"/>
      <w:szCs w:val="16"/>
    </w:rPr>
  </w:style>
  <w:style w:type="character" w:customStyle="1" w:styleId="BalloonTextChar">
    <w:name w:val="Balloon Text Char"/>
    <w:basedOn w:val="DefaultParagraphFont"/>
    <w:link w:val="BalloonText"/>
    <w:uiPriority w:val="99"/>
    <w:semiHidden/>
    <w:rsid w:val="009C3293"/>
    <w:rPr>
      <w:rFonts w:ascii="Tahoma" w:eastAsia="Times New Roman" w:hAnsi="Tahoma" w:cs="Tahoma"/>
      <w:sz w:val="16"/>
      <w:szCs w:val="16"/>
    </w:rPr>
  </w:style>
  <w:style w:type="paragraph" w:styleId="Revision">
    <w:name w:val="Revision"/>
    <w:hidden/>
    <w:uiPriority w:val="99"/>
    <w:semiHidden/>
    <w:rsid w:val="00C561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dge.com/proceedings" TargetMode="External"/><Relationship Id="rId7" Type="http://schemas.openxmlformats.org/officeDocument/2006/relationships/hyperlink" Target="http://www.sdge.com/regulatory-notices" TargetMode="External"/><Relationship Id="rId8" Type="http://schemas.openxmlformats.org/officeDocument/2006/relationships/hyperlink" Target="http://subscribecpuc.cpuc.c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FB6C-D97D-AF45-8610-23AF9CCB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8168</Characters>
  <Application>Microsoft Macintosh Word</Application>
  <DocSecurity>0</DocSecurity>
  <Lines>412</Lines>
  <Paragraphs>220</Paragraphs>
  <ScaleCrop>false</ScaleCrop>
  <HeadingPairs>
    <vt:vector size="2" baseType="variant">
      <vt:variant>
        <vt:lpstr>Title</vt:lpstr>
      </vt:variant>
      <vt:variant>
        <vt:i4>1</vt:i4>
      </vt:variant>
    </vt:vector>
  </HeadingPairs>
  <TitlesOfParts>
    <vt:vector size="1" baseType="lpstr">
      <vt:lpstr/>
    </vt:vector>
  </TitlesOfParts>
  <Manager/>
  <Company>Sempra Energy</Company>
  <LinksUpToDate>false</LinksUpToDate>
  <CharactersWithSpaces>9520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Rogelio Camacho</cp:lastModifiedBy>
  <cp:revision>3</cp:revision>
  <cp:lastPrinted>2015-04-21T23:07:00Z</cp:lastPrinted>
  <dcterms:created xsi:type="dcterms:W3CDTF">2015-04-23T13:56:00Z</dcterms:created>
  <dcterms:modified xsi:type="dcterms:W3CDTF">2015-04-23T13:56:00Z</dcterms:modified>
  <cp:category/>
</cp:coreProperties>
</file>